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806" w:rsidRPr="009A17F4" w:rsidRDefault="003A5431" w:rsidP="003A5431">
      <w:pPr>
        <w:pStyle w:val="BOTHeading1"/>
        <w:rPr>
          <w:rFonts w:asciiTheme="minorHAnsi" w:hAnsiTheme="minorHAnsi"/>
          <w:bCs w:val="0"/>
          <w:color w:val="auto"/>
        </w:rPr>
      </w:pPr>
      <w:bookmarkStart w:id="0" w:name="_GoBack"/>
      <w:bookmarkEnd w:id="0"/>
      <w:r>
        <w:rPr>
          <w:rFonts w:asciiTheme="minorHAnsi" w:hAnsiTheme="minorHAnsi"/>
          <w:bCs w:val="0"/>
          <w:color w:val="auto"/>
        </w:rPr>
        <w:t>Child Protection</w:t>
      </w:r>
      <w:r w:rsidRPr="009A17F4">
        <w:rPr>
          <w:rFonts w:asciiTheme="minorHAnsi" w:hAnsiTheme="minorHAnsi"/>
          <w:bCs w:val="0"/>
          <w:color w:val="auto"/>
        </w:rPr>
        <w:t xml:space="preserve"> Policy </w:t>
      </w:r>
    </w:p>
    <w:p w:rsidR="003A5431" w:rsidRPr="009A17F4" w:rsidRDefault="003A5431" w:rsidP="003A5431">
      <w:pPr>
        <w:pStyle w:val="BOTHeading1"/>
        <w:rPr>
          <w:rFonts w:asciiTheme="minorHAnsi" w:hAnsiTheme="minorHAnsi"/>
          <w:color w:val="auto"/>
          <w:sz w:val="22"/>
          <w:szCs w:val="22"/>
        </w:rPr>
      </w:pPr>
      <w:r>
        <w:rPr>
          <w:rFonts w:asciiTheme="minorHAnsi" w:hAnsiTheme="minorHAnsi"/>
          <w:noProof/>
          <w:color w:val="auto"/>
          <w:sz w:val="22"/>
          <w:szCs w:val="22"/>
          <w:lang w:val="en-NZ" w:eastAsia="en-NZ"/>
        </w:rPr>
        <mc:AlternateContent>
          <mc:Choice Requires="wps">
            <w:drawing>
              <wp:anchor distT="0" distB="0" distL="114300" distR="114300" simplePos="0" relativeHeight="251659264" behindDoc="0" locked="0" layoutInCell="1" allowOverlap="1" wp14:anchorId="140F4A87" wp14:editId="29A65CB6">
                <wp:simplePos x="0" y="0"/>
                <wp:positionH relativeFrom="column">
                  <wp:posOffset>0</wp:posOffset>
                </wp:positionH>
                <wp:positionV relativeFrom="paragraph">
                  <wp:posOffset>106680</wp:posOffset>
                </wp:positionV>
                <wp:extent cx="5486400" cy="4445"/>
                <wp:effectExtent l="9525" t="1397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1684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"/>
            </w:pict>
          </mc:Fallback>
        </mc:AlternateContent>
      </w:r>
    </w:p>
    <w:p w:rsidR="003A5431" w:rsidRPr="00322B0B" w:rsidRDefault="003A5431" w:rsidP="00D96FE5">
      <w:pPr>
        <w:pStyle w:val="NoSpacing"/>
      </w:pPr>
      <w:r w:rsidRPr="00322B0B">
        <w:t>Board of Trustees Minute Reference</w:t>
      </w:r>
      <w:r w:rsidRPr="00322B0B">
        <w:tab/>
      </w:r>
      <w:r w:rsidRPr="00322B0B">
        <w:tab/>
      </w:r>
      <w:r w:rsidRPr="00322B0B">
        <w:tab/>
        <w:t xml:space="preserve">: </w:t>
      </w:r>
      <w:r>
        <w:t>December 201</w:t>
      </w:r>
      <w:r w:rsidR="002E6446">
        <w:t>7</w:t>
      </w:r>
      <w:r>
        <w:t xml:space="preserve"> Part 1 Item </w:t>
      </w:r>
      <w:r w:rsidR="002E6446">
        <w:t>5.2</w:t>
      </w:r>
    </w:p>
    <w:p w:rsidR="003A5431" w:rsidRPr="00322B0B" w:rsidRDefault="003A5431" w:rsidP="00D96FE5">
      <w:pPr>
        <w:pStyle w:val="NoSpacing"/>
      </w:pPr>
      <w:r w:rsidRPr="00322B0B">
        <w:t>Date first created/This version no</w:t>
      </w:r>
      <w:r>
        <w:t>.</w:t>
      </w:r>
      <w:r w:rsidRPr="00322B0B">
        <w:tab/>
      </w:r>
      <w:r w:rsidRPr="00322B0B">
        <w:tab/>
      </w:r>
      <w:r w:rsidRPr="00322B0B">
        <w:tab/>
        <w:t>:</w:t>
      </w:r>
      <w:r>
        <w:t xml:space="preserve"> December 2015/1</w:t>
      </w:r>
    </w:p>
    <w:p w:rsidR="003A5431" w:rsidRPr="00322B0B" w:rsidRDefault="003A5431" w:rsidP="00D96FE5">
      <w:pPr>
        <w:pStyle w:val="NoSpacing"/>
      </w:pPr>
      <w:r w:rsidRPr="00322B0B">
        <w:t>Next review date (</w:t>
      </w:r>
      <w:r>
        <w:t>3</w:t>
      </w:r>
      <w:r w:rsidRPr="00322B0B">
        <w:t xml:space="preserve"> year cycle)</w:t>
      </w:r>
      <w:r>
        <w:tab/>
      </w:r>
      <w:r w:rsidRPr="00322B0B">
        <w:tab/>
      </w:r>
      <w:r w:rsidRPr="00322B0B">
        <w:tab/>
      </w:r>
      <w:r w:rsidRPr="00322B0B">
        <w:tab/>
        <w:t xml:space="preserve">: </w:t>
      </w:r>
      <w:r w:rsidR="002E6446">
        <w:t>December</w:t>
      </w:r>
      <w:r>
        <w:t xml:space="preserve"> 20</w:t>
      </w:r>
      <w:r w:rsidR="002E6446">
        <w:t>20</w:t>
      </w:r>
    </w:p>
    <w:p w:rsidR="003A5431" w:rsidRDefault="003A5431" w:rsidP="00D96FE5">
      <w:pPr>
        <w:pStyle w:val="NoSpacing"/>
      </w:pPr>
      <w:r w:rsidRPr="00322B0B">
        <w:t>Owner</w:t>
      </w:r>
      <w:r>
        <w:tab/>
      </w:r>
      <w:r w:rsidR="00D96FE5">
        <w:tab/>
      </w:r>
      <w:r w:rsidR="00D96FE5">
        <w:tab/>
      </w:r>
      <w:r w:rsidR="00D96FE5">
        <w:tab/>
      </w:r>
      <w:r w:rsidR="00D96FE5">
        <w:tab/>
      </w:r>
      <w:r w:rsidR="00D96FE5">
        <w:tab/>
      </w:r>
      <w:r w:rsidR="00D96FE5">
        <w:tab/>
      </w:r>
      <w:r w:rsidRPr="00322B0B">
        <w:t xml:space="preserve">: </w:t>
      </w:r>
      <w:r>
        <w:t>SLT members; Runanga Managers;</w:t>
      </w:r>
    </w:p>
    <w:p w:rsidR="00D96FE5" w:rsidRDefault="00D96FE5" w:rsidP="00D96FE5">
      <w:pPr>
        <w:pStyle w:val="NoSpacing"/>
        <w:ind w:left="5103"/>
      </w:pPr>
      <w:r>
        <w:t xml:space="preserve"> Manager HR</w:t>
      </w:r>
    </w:p>
    <w:p w:rsidR="003A5431" w:rsidRPr="00322B0B" w:rsidRDefault="003A5431" w:rsidP="00D96FE5">
      <w:pPr>
        <w:pStyle w:val="NoSpacing"/>
      </w:pPr>
      <w:r>
        <w:t>Responsibility for this policy</w:t>
      </w:r>
      <w:r>
        <w:tab/>
      </w:r>
      <w:r w:rsidR="00D96FE5">
        <w:tab/>
      </w:r>
      <w:r w:rsidR="00D96FE5">
        <w:tab/>
      </w:r>
      <w:r w:rsidR="00D96FE5">
        <w:tab/>
      </w:r>
      <w:r>
        <w:t xml:space="preserve">: </w:t>
      </w:r>
      <w:r w:rsidRPr="00322B0B">
        <w:rPr>
          <w:rFonts w:ascii="Calibri" w:hAnsi="Calibri"/>
        </w:rPr>
        <w:t>Manager, HR</w:t>
      </w:r>
      <w:r w:rsidRPr="00322B0B">
        <w:t xml:space="preserve"> </w:t>
      </w:r>
    </w:p>
    <w:p w:rsidR="003A5431" w:rsidRPr="009A17F4" w:rsidRDefault="003A5431" w:rsidP="003A5431">
      <w:pPr>
        <w:spacing w:before="60" w:after="60"/>
        <w:rPr>
          <w:sz w:val="20"/>
          <w:szCs w:val="20"/>
        </w:rPr>
      </w:pPr>
      <w:r>
        <w:rPr>
          <w:noProof/>
          <w:sz w:val="20"/>
          <w:szCs w:val="20"/>
        </w:rPr>
        <mc:AlternateContent>
          <mc:Choice Requires="wps">
            <w:drawing>
              <wp:anchor distT="0" distB="0" distL="114300" distR="114300" simplePos="0" relativeHeight="251660288" behindDoc="0" locked="0" layoutInCell="1" allowOverlap="1" wp14:anchorId="29AAD949" wp14:editId="0E6028CE">
                <wp:simplePos x="0" y="0"/>
                <wp:positionH relativeFrom="column">
                  <wp:posOffset>0</wp:posOffset>
                </wp:positionH>
                <wp:positionV relativeFrom="paragraph">
                  <wp:posOffset>66675</wp:posOffset>
                </wp:positionV>
                <wp:extent cx="5486400" cy="4445"/>
                <wp:effectExtent l="9525" t="5715"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AAEF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pt" to="6in,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"/>
            </w:pict>
          </mc:Fallback>
        </mc:AlternateContent>
      </w:r>
    </w:p>
    <w:p w:rsidR="003A5431" w:rsidRPr="00322B0B" w:rsidRDefault="003A5431" w:rsidP="003A5431">
      <w:pPr>
        <w:numPr>
          <w:ilvl w:val="0"/>
          <w:numId w:val="11"/>
        </w:numPr>
        <w:spacing w:before="60" w:after="60" w:line="240" w:lineRule="auto"/>
        <w:rPr>
          <w:b/>
        </w:rPr>
      </w:pPr>
      <w:r w:rsidRPr="00322B0B">
        <w:rPr>
          <w:b/>
        </w:rPr>
        <w:t>Background</w:t>
      </w:r>
    </w:p>
    <w:p w:rsidR="003A5431" w:rsidRPr="004E5023" w:rsidRDefault="003A5431" w:rsidP="004E5023">
      <w:r>
        <w:t xml:space="preserve">In acknowledging its </w:t>
      </w:r>
      <w:r w:rsidRPr="005F3D1E">
        <w:t>obligation to ensure the wellbeing of children in the care of Te Kura</w:t>
      </w:r>
      <w:r>
        <w:t xml:space="preserve">, the Board </w:t>
      </w:r>
      <w:r w:rsidRPr="00C340D6">
        <w:rPr>
          <w:rFonts w:ascii="Calibri" w:hAnsi="Calibri"/>
        </w:rPr>
        <w:t>recognise</w:t>
      </w:r>
      <w:r>
        <w:rPr>
          <w:rFonts w:ascii="Calibri" w:hAnsi="Calibri"/>
        </w:rPr>
        <w:t>s</w:t>
      </w:r>
      <w:r w:rsidRPr="00C340D6">
        <w:rPr>
          <w:rFonts w:ascii="Calibri" w:hAnsi="Calibri"/>
        </w:rPr>
        <w:t xml:space="preserve"> the important roles </w:t>
      </w:r>
      <w:r>
        <w:rPr>
          <w:rFonts w:ascii="Calibri" w:hAnsi="Calibri"/>
        </w:rPr>
        <w:t>Te Kura</w:t>
      </w:r>
      <w:r w:rsidRPr="00C340D6">
        <w:rPr>
          <w:rFonts w:ascii="Calibri" w:hAnsi="Calibri"/>
        </w:rPr>
        <w:t xml:space="preserve"> staff have in protecting children</w:t>
      </w:r>
      <w:r w:rsidRPr="005F3D1E">
        <w:t xml:space="preserve">. The Board is committed to the prevention of child abuse and neglect and to the protection of all children and will make the safety and wellbeing of the child the top priority </w:t>
      </w:r>
      <w:r>
        <w:t xml:space="preserve">in any Te Kura investigation of </w:t>
      </w:r>
      <w:r w:rsidRPr="005F3D1E">
        <w:t>suspected or alleged abuse.</w:t>
      </w:r>
    </w:p>
    <w:p w:rsidR="003A5431" w:rsidRPr="008F6B35" w:rsidRDefault="003A5431" w:rsidP="003A5431">
      <w:pPr>
        <w:numPr>
          <w:ilvl w:val="0"/>
          <w:numId w:val="11"/>
        </w:numPr>
        <w:spacing w:before="60" w:after="60" w:line="240" w:lineRule="auto"/>
        <w:rPr>
          <w:b/>
        </w:rPr>
      </w:pPr>
      <w:r w:rsidRPr="008F6B35">
        <w:rPr>
          <w:b/>
        </w:rPr>
        <w:t>Purpose</w:t>
      </w:r>
    </w:p>
    <w:p w:rsidR="003A5431" w:rsidRPr="008F6B35" w:rsidRDefault="003A5431" w:rsidP="004E5023">
      <w:r w:rsidRPr="00C340D6">
        <w:t>T</w:t>
      </w:r>
      <w:r>
        <w:t>his policy is intended t</w:t>
      </w:r>
      <w:r w:rsidRPr="00C340D6">
        <w:t>o protect the safety and promote the wellbeing of children and young persons aged under</w:t>
      </w:r>
      <w:r>
        <w:t xml:space="preserve"> </w:t>
      </w:r>
      <w:r w:rsidRPr="00C340D6">
        <w:t>17 years</w:t>
      </w:r>
      <w:r>
        <w:t xml:space="preserve"> </w:t>
      </w:r>
      <w:r w:rsidRPr="00C340D6">
        <w:t>who are receiving services from any staff member of Te Kura, or are associated with adults</w:t>
      </w:r>
      <w:r>
        <w:t xml:space="preserve"> </w:t>
      </w:r>
      <w:r w:rsidRPr="00C340D6">
        <w:t xml:space="preserve">who are receiving services from any </w:t>
      </w:r>
      <w:r>
        <w:t xml:space="preserve">Te Kura </w:t>
      </w:r>
      <w:r w:rsidRPr="00C340D6">
        <w:t>staff member.</w:t>
      </w:r>
    </w:p>
    <w:p w:rsidR="003A5431" w:rsidRDefault="003A5431" w:rsidP="003A5431">
      <w:pPr>
        <w:numPr>
          <w:ilvl w:val="0"/>
          <w:numId w:val="11"/>
        </w:numPr>
        <w:spacing w:before="60" w:after="60" w:line="240" w:lineRule="auto"/>
        <w:rPr>
          <w:b/>
        </w:rPr>
      </w:pPr>
      <w:r w:rsidRPr="008F6B35">
        <w:rPr>
          <w:b/>
        </w:rPr>
        <w:t>Scope</w:t>
      </w:r>
    </w:p>
    <w:p w:rsidR="003A5431" w:rsidRDefault="003A5431" w:rsidP="004E5023">
      <w:r w:rsidRPr="00C340D6">
        <w:t xml:space="preserve">This policy applies to all </w:t>
      </w:r>
      <w:r>
        <w:t xml:space="preserve">Te Kura </w:t>
      </w:r>
      <w:r w:rsidRPr="00C340D6">
        <w:t>staff</w:t>
      </w:r>
      <w:r>
        <w:t>, contractors and volunteers (including mentors)</w:t>
      </w:r>
      <w:r w:rsidRPr="00C340D6">
        <w:t xml:space="preserve"> and </w:t>
      </w:r>
      <w:r>
        <w:t>is to be</w:t>
      </w:r>
      <w:r w:rsidRPr="00C340D6">
        <w:t xml:space="preserve"> used wherever </w:t>
      </w:r>
      <w:r>
        <w:t xml:space="preserve">child </w:t>
      </w:r>
      <w:r w:rsidRPr="00C340D6">
        <w:t>abuse or neglect is suspected or identified</w:t>
      </w:r>
      <w:r>
        <w:t>. I</w:t>
      </w:r>
      <w:r w:rsidRPr="006B52CC">
        <w:t>t is intended to protect all children that Te Kura staff may encounter in the course of their work, including siblings, the children of adults accessing Te Kura teaching and learning services and any other children encountered by staff as they provide their service.</w:t>
      </w:r>
    </w:p>
    <w:p w:rsidR="003A5431" w:rsidRDefault="003A5431" w:rsidP="003A5431">
      <w:pPr>
        <w:spacing w:before="60" w:after="60"/>
      </w:pPr>
      <w:r>
        <w:t xml:space="preserve">This policy does not cover Te Kura students aged over 17 years. Refer to the intranet’s </w:t>
      </w:r>
      <w:hyperlink r:id="rId8" w:history="1">
        <w:r w:rsidRPr="001B3915">
          <w:rPr>
            <w:rStyle w:val="Hyperlink"/>
          </w:rPr>
          <w:t>Policy framework page</w:t>
        </w:r>
      </w:hyperlink>
      <w:r>
        <w:t xml:space="preserve"> for the </w:t>
      </w:r>
      <w:r w:rsidRPr="001B3915">
        <w:rPr>
          <w:i/>
        </w:rPr>
        <w:t>Health and Safety Policy: Students</w:t>
      </w:r>
      <w:r>
        <w:t xml:space="preserve"> which covers Te Kura’s responsibilities for those students, including young adults.</w:t>
      </w:r>
    </w:p>
    <w:p w:rsidR="003A5431" w:rsidRPr="00C340D6" w:rsidRDefault="003A5431" w:rsidP="003A5431">
      <w:pPr>
        <w:spacing w:before="60" w:after="60"/>
      </w:pPr>
    </w:p>
    <w:p w:rsidR="004E5023" w:rsidRDefault="004E5023">
      <w:pPr>
        <w:rPr>
          <w:rFonts w:ascii="Calibri" w:hAnsi="Calibri"/>
          <w:b/>
        </w:rPr>
      </w:pPr>
      <w:r>
        <w:rPr>
          <w:rFonts w:ascii="Calibri" w:hAnsi="Calibri"/>
          <w:b/>
        </w:rPr>
        <w:br w:type="page"/>
      </w:r>
    </w:p>
    <w:p w:rsidR="003A5431" w:rsidRPr="008F6B35" w:rsidRDefault="003A5431" w:rsidP="003A5431">
      <w:pPr>
        <w:numPr>
          <w:ilvl w:val="0"/>
          <w:numId w:val="11"/>
        </w:numPr>
        <w:spacing w:before="60" w:after="60" w:line="240" w:lineRule="auto"/>
        <w:rPr>
          <w:rFonts w:ascii="Calibri" w:hAnsi="Calibri"/>
          <w:b/>
        </w:rPr>
      </w:pPr>
      <w:r w:rsidRPr="008F6B35">
        <w:rPr>
          <w:rFonts w:ascii="Calibri" w:hAnsi="Calibri"/>
          <w:b/>
        </w:rPr>
        <w:lastRenderedPageBreak/>
        <w:t>Definitions</w:t>
      </w:r>
    </w:p>
    <w:p w:rsidR="003A5431" w:rsidRPr="003A5431" w:rsidRDefault="003A5431" w:rsidP="003A5431">
      <w:pPr>
        <w:spacing w:after="0" w:line="360" w:lineRule="auto"/>
      </w:pPr>
      <w:r>
        <w:rPr>
          <w:rFonts w:ascii="Calibri" w:hAnsi="Calibri" w:cs="ArialMT-Mäori"/>
          <w:b/>
        </w:rPr>
        <w:t xml:space="preserve">Abuse </w:t>
      </w:r>
      <w:r w:rsidRPr="00732A92">
        <w:rPr>
          <w:rFonts w:ascii="Calibri" w:hAnsi="Calibri" w:cs="ArialMT-Mäori"/>
        </w:rPr>
        <w:t xml:space="preserve">– the </w:t>
      </w:r>
      <w:r w:rsidRPr="003A5431">
        <w:t>harming (whether physically, emotionally or sexually), ill-treatment, neglect or</w:t>
      </w:r>
    </w:p>
    <w:p w:rsidR="003A5431" w:rsidRPr="003A5431" w:rsidRDefault="003A5431" w:rsidP="003A5431">
      <w:pPr>
        <w:spacing w:after="0" w:line="360" w:lineRule="auto"/>
        <w:rPr>
          <w:rFonts w:ascii="Calibri" w:hAnsi="Calibri" w:cs="ArialMT-Mäori"/>
        </w:rPr>
      </w:pPr>
      <w:r w:rsidRPr="003A5431">
        <w:t>deprivation of a</w:t>
      </w:r>
      <w:r w:rsidRPr="00732A92">
        <w:rPr>
          <w:rFonts w:ascii="Calibri" w:hAnsi="Calibri" w:cs="ArialMT-Mäori"/>
        </w:rPr>
        <w:t>ny child.</w:t>
      </w:r>
    </w:p>
    <w:p w:rsidR="003A5431" w:rsidRPr="00732A92" w:rsidRDefault="003A5431" w:rsidP="003A5431">
      <w:pPr>
        <w:autoSpaceDE w:val="0"/>
        <w:autoSpaceDN w:val="0"/>
        <w:adjustRightInd w:val="0"/>
        <w:spacing w:after="0" w:line="360" w:lineRule="auto"/>
        <w:rPr>
          <w:rFonts w:ascii="Calibri" w:hAnsi="Calibri" w:cs="ArialMT-Mäori"/>
        </w:rPr>
      </w:pPr>
      <w:r w:rsidRPr="00732A92">
        <w:rPr>
          <w:rFonts w:ascii="Calibri" w:hAnsi="Calibri" w:cs="ArialMT-Mäori"/>
          <w:b/>
        </w:rPr>
        <w:t xml:space="preserve">Neglect </w:t>
      </w:r>
      <w:r w:rsidRPr="00732A92">
        <w:rPr>
          <w:rFonts w:ascii="Calibri" w:hAnsi="Calibri" w:cs="ArialMT-Mäori"/>
        </w:rPr>
        <w:t>– the persistent failure to meet a child’s basic physical or psychological needs,</w:t>
      </w:r>
    </w:p>
    <w:p w:rsidR="003A5431" w:rsidRPr="003A5431" w:rsidRDefault="003A5431" w:rsidP="003A5431">
      <w:pPr>
        <w:autoSpaceDE w:val="0"/>
        <w:autoSpaceDN w:val="0"/>
        <w:adjustRightInd w:val="0"/>
        <w:spacing w:after="0" w:line="360" w:lineRule="auto"/>
        <w:rPr>
          <w:rFonts w:ascii="Calibri" w:hAnsi="Calibri" w:cs="ArialMT-Mäori"/>
        </w:rPr>
      </w:pPr>
      <w:r w:rsidRPr="00732A92">
        <w:rPr>
          <w:rFonts w:ascii="Calibri" w:hAnsi="Calibri" w:cs="ArialMT-Mäori"/>
        </w:rPr>
        <w:t>leading to adverse or impaired physical or emotional functioning or development.</w:t>
      </w:r>
    </w:p>
    <w:p w:rsidR="003A5431" w:rsidRPr="00732A92" w:rsidRDefault="003A5431" w:rsidP="003A5431">
      <w:pPr>
        <w:autoSpaceDE w:val="0"/>
        <w:autoSpaceDN w:val="0"/>
        <w:adjustRightInd w:val="0"/>
        <w:spacing w:after="0" w:line="360" w:lineRule="auto"/>
        <w:rPr>
          <w:rFonts w:ascii="Calibri" w:hAnsi="Calibri" w:cs="ArialMT-Mäori"/>
        </w:rPr>
      </w:pPr>
      <w:r w:rsidRPr="00732A92">
        <w:rPr>
          <w:rFonts w:ascii="Calibri" w:hAnsi="Calibri" w:cs="ArialMT-Mäori"/>
          <w:b/>
        </w:rPr>
        <w:t xml:space="preserve">Child </w:t>
      </w:r>
      <w:r w:rsidRPr="00732A92">
        <w:rPr>
          <w:rFonts w:ascii="Calibri" w:hAnsi="Calibri" w:cs="ArialMT-Mäori"/>
        </w:rPr>
        <w:t>– any child or young person aged under 17 years, and who is not married or in a civil</w:t>
      </w:r>
    </w:p>
    <w:p w:rsidR="003A5431" w:rsidRPr="003A5431" w:rsidRDefault="003A5431" w:rsidP="003A5431">
      <w:pPr>
        <w:autoSpaceDE w:val="0"/>
        <w:autoSpaceDN w:val="0"/>
        <w:adjustRightInd w:val="0"/>
        <w:spacing w:after="0" w:line="360" w:lineRule="auto"/>
        <w:rPr>
          <w:rFonts w:ascii="Calibri" w:hAnsi="Calibri" w:cs="ArialMT-Mäori"/>
        </w:rPr>
      </w:pPr>
      <w:r w:rsidRPr="00732A92">
        <w:rPr>
          <w:rFonts w:ascii="Calibri" w:hAnsi="Calibri" w:cs="ArialMT-Mäori"/>
        </w:rPr>
        <w:t>union.</w:t>
      </w:r>
    </w:p>
    <w:p w:rsidR="003A5431" w:rsidRPr="00732A92" w:rsidRDefault="003A5431" w:rsidP="003A5431">
      <w:pPr>
        <w:autoSpaceDE w:val="0"/>
        <w:autoSpaceDN w:val="0"/>
        <w:adjustRightInd w:val="0"/>
        <w:spacing w:after="0" w:line="360" w:lineRule="auto"/>
        <w:rPr>
          <w:rFonts w:ascii="Calibri" w:hAnsi="Calibri" w:cs="ArialMT-Mäori"/>
        </w:rPr>
      </w:pPr>
      <w:r w:rsidRPr="00732A92">
        <w:rPr>
          <w:rFonts w:ascii="Calibri" w:hAnsi="Calibri" w:cs="ArialMT-Mäori"/>
          <w:b/>
        </w:rPr>
        <w:t xml:space="preserve">Child protection </w:t>
      </w:r>
      <w:r w:rsidRPr="00732A92">
        <w:rPr>
          <w:rFonts w:ascii="Calibri" w:hAnsi="Calibri" w:cs="ArialMT-Mäori"/>
        </w:rPr>
        <w:t>– activities carried out to ensure that children are safe in cases where there</w:t>
      </w:r>
    </w:p>
    <w:p w:rsidR="003A5431" w:rsidRDefault="003A5431" w:rsidP="003A5431">
      <w:pPr>
        <w:autoSpaceDE w:val="0"/>
        <w:autoSpaceDN w:val="0"/>
        <w:adjustRightInd w:val="0"/>
        <w:spacing w:after="0" w:line="360" w:lineRule="auto"/>
        <w:rPr>
          <w:rFonts w:ascii="Calibri" w:hAnsi="Calibri" w:cs="ArialMT-Mäori"/>
        </w:rPr>
      </w:pPr>
      <w:r w:rsidRPr="00732A92">
        <w:rPr>
          <w:rFonts w:ascii="Calibri" w:hAnsi="Calibri" w:cs="ArialMT-Mäori"/>
        </w:rPr>
        <w:t>is suspected abuse or neglect or the risk of abuse or neglect.</w:t>
      </w:r>
    </w:p>
    <w:p w:rsidR="003A5431" w:rsidRPr="00DC0F4E" w:rsidRDefault="003A5431" w:rsidP="003A5431">
      <w:pPr>
        <w:autoSpaceDE w:val="0"/>
        <w:autoSpaceDN w:val="0"/>
        <w:adjustRightInd w:val="0"/>
        <w:spacing w:after="0" w:line="360" w:lineRule="auto"/>
        <w:rPr>
          <w:rFonts w:ascii="Calibri" w:hAnsi="Calibri" w:cs="ArialMT-Mäori"/>
        </w:rPr>
      </w:pPr>
      <w:r w:rsidRPr="00DC0F4E">
        <w:rPr>
          <w:rFonts w:ascii="Calibri" w:hAnsi="Calibri" w:cs="ArialMT-Mäori"/>
          <w:b/>
        </w:rPr>
        <w:t xml:space="preserve">Children’s services </w:t>
      </w:r>
      <w:r w:rsidRPr="00DC0F4E">
        <w:rPr>
          <w:rFonts w:ascii="Calibri" w:hAnsi="Calibri" w:cs="ArialMT-Mäori"/>
        </w:rPr>
        <w:t>– any organisation that provides services to children or to adults where</w:t>
      </w:r>
    </w:p>
    <w:p w:rsidR="003A5431" w:rsidRPr="00DC0F4E" w:rsidRDefault="003A5431" w:rsidP="003A5431">
      <w:pPr>
        <w:autoSpaceDE w:val="0"/>
        <w:autoSpaceDN w:val="0"/>
        <w:adjustRightInd w:val="0"/>
        <w:spacing w:after="0" w:line="360" w:lineRule="auto"/>
        <w:rPr>
          <w:rFonts w:ascii="Calibri" w:hAnsi="Calibri" w:cs="ArialMT-Mäori"/>
        </w:rPr>
      </w:pPr>
      <w:r w:rsidRPr="00DC0F4E">
        <w:rPr>
          <w:rFonts w:ascii="Calibri" w:hAnsi="Calibri" w:cs="ArialMT-Mäori"/>
        </w:rPr>
        <w:t xml:space="preserve">contact with children may be part of the service. These organisations </w:t>
      </w:r>
      <w:r>
        <w:rPr>
          <w:rFonts w:ascii="Calibri" w:hAnsi="Calibri" w:cs="ArialMT-Mäori"/>
        </w:rPr>
        <w:t>are required to</w:t>
      </w:r>
      <w:r w:rsidRPr="00DC0F4E">
        <w:rPr>
          <w:rFonts w:ascii="Calibri" w:hAnsi="Calibri" w:cs="ArialMT-Mäori"/>
        </w:rPr>
        <w:t xml:space="preserve"> have child</w:t>
      </w:r>
    </w:p>
    <w:p w:rsidR="003A5431" w:rsidRDefault="003A5431" w:rsidP="003A5431">
      <w:pPr>
        <w:autoSpaceDE w:val="0"/>
        <w:autoSpaceDN w:val="0"/>
        <w:adjustRightInd w:val="0"/>
        <w:spacing w:after="0" w:line="360" w:lineRule="auto"/>
        <w:rPr>
          <w:rFonts w:ascii="Calibri" w:hAnsi="Calibri" w:cs="ArialMT-Mäori"/>
        </w:rPr>
      </w:pPr>
      <w:r w:rsidRPr="00DC0F4E">
        <w:rPr>
          <w:rFonts w:ascii="Calibri" w:hAnsi="Calibri" w:cs="ArialMT-Mäori"/>
        </w:rPr>
        <w:t xml:space="preserve">protection policies. </w:t>
      </w:r>
    </w:p>
    <w:p w:rsidR="003A5431" w:rsidRPr="00DC0F4E" w:rsidRDefault="003A5431" w:rsidP="003A5431">
      <w:pPr>
        <w:autoSpaceDE w:val="0"/>
        <w:autoSpaceDN w:val="0"/>
        <w:adjustRightInd w:val="0"/>
        <w:spacing w:after="0" w:line="360" w:lineRule="auto"/>
        <w:rPr>
          <w:rFonts w:ascii="Calibri" w:hAnsi="Calibri" w:cs="ArialMT-Mäori"/>
        </w:rPr>
      </w:pPr>
      <w:r w:rsidRPr="00DC0F4E">
        <w:rPr>
          <w:rFonts w:ascii="Calibri" w:hAnsi="Calibri" w:cs="ArialMT-Mäori"/>
          <w:b/>
        </w:rPr>
        <w:t xml:space="preserve">Children’s workforce/children’s workers </w:t>
      </w:r>
      <w:r w:rsidRPr="00DC0F4E">
        <w:rPr>
          <w:rFonts w:ascii="Calibri" w:hAnsi="Calibri" w:cs="ArialMT-Mäori"/>
        </w:rPr>
        <w:t>– people who work with children, or who have</w:t>
      </w:r>
    </w:p>
    <w:p w:rsidR="003A5431" w:rsidRDefault="003A5431" w:rsidP="003A5431">
      <w:pPr>
        <w:autoSpaceDE w:val="0"/>
        <w:autoSpaceDN w:val="0"/>
        <w:adjustRightInd w:val="0"/>
        <w:spacing w:after="0" w:line="360" w:lineRule="auto"/>
        <w:rPr>
          <w:rFonts w:ascii="Calibri" w:hAnsi="Calibri" w:cs="ArialMT-Mäori"/>
        </w:rPr>
      </w:pPr>
      <w:r w:rsidRPr="00DC0F4E">
        <w:rPr>
          <w:rFonts w:ascii="Calibri" w:hAnsi="Calibri" w:cs="ArialMT-Mäori"/>
        </w:rPr>
        <w:t>regular contact with children, as part of their roles.</w:t>
      </w:r>
    </w:p>
    <w:p w:rsidR="003A5431" w:rsidRPr="004E5023" w:rsidRDefault="003A5431" w:rsidP="003A5431">
      <w:pPr>
        <w:shd w:val="clear" w:color="auto" w:fill="FFFFFF"/>
        <w:spacing w:after="0" w:line="360" w:lineRule="auto"/>
        <w:rPr>
          <w:rFonts w:ascii="Calibri" w:hAnsi="Calibri" w:cs="Arial"/>
        </w:rPr>
      </w:pPr>
      <w:r w:rsidRPr="004E5023">
        <w:rPr>
          <w:rFonts w:ascii="Calibri" w:hAnsi="Calibri" w:cs="ArialMT-Mäori"/>
          <w:b/>
        </w:rPr>
        <w:t>Contact:</w:t>
      </w:r>
      <w:r w:rsidRPr="004E5023">
        <w:rPr>
          <w:rFonts w:ascii="Calibri" w:hAnsi="Calibri" w:cs="Arial"/>
        </w:rPr>
        <w:t xml:space="preserve"> </w:t>
      </w:r>
      <w:r w:rsidRPr="004E5023">
        <w:rPr>
          <w:rFonts w:ascii="Calibri" w:hAnsi="Calibri" w:cs="ArialMT-Mäori"/>
        </w:rPr>
        <w:t>A person’s work involves</w:t>
      </w:r>
      <w:r w:rsidRPr="004E5023">
        <w:rPr>
          <w:rFonts w:ascii="Calibri" w:hAnsi="Calibri" w:cs="Arial"/>
        </w:rPr>
        <w:t xml:space="preserve"> </w:t>
      </w:r>
      <w:r w:rsidRPr="004E5023">
        <w:rPr>
          <w:rFonts w:ascii="Calibri" w:hAnsi="Calibri" w:cs="Arial"/>
          <w:b/>
          <w:bCs/>
        </w:rPr>
        <w:t xml:space="preserve">regular or overnight contact </w:t>
      </w:r>
      <w:r w:rsidRPr="004E5023">
        <w:rPr>
          <w:rFonts w:ascii="Calibri" w:hAnsi="Calibri" w:cs="Arial"/>
        </w:rPr>
        <w:t>with children if the person has contact (other than merely incidental contact) with a child or children:</w:t>
      </w:r>
    </w:p>
    <w:p w:rsidR="003A5431" w:rsidRPr="004E5023" w:rsidRDefault="003A5431" w:rsidP="003A5431">
      <w:pPr>
        <w:pStyle w:val="ListParagraph"/>
        <w:numPr>
          <w:ilvl w:val="0"/>
          <w:numId w:val="13"/>
        </w:numPr>
        <w:shd w:val="clear" w:color="auto" w:fill="FFFFFF"/>
        <w:spacing w:before="83" w:after="100" w:afterAutospacing="1" w:line="288" w:lineRule="atLeast"/>
        <w:jc w:val="both"/>
        <w:outlineLvl w:val="5"/>
        <w:rPr>
          <w:rFonts w:eastAsia="Times New Roman" w:cs="Arial"/>
        </w:rPr>
      </w:pPr>
      <w:r w:rsidRPr="004E5023">
        <w:rPr>
          <w:rFonts w:eastAsia="Times New Roman" w:cs="Arial"/>
        </w:rPr>
        <w:t>overnight, or</w:t>
      </w:r>
      <w:r w:rsidRPr="004E5023">
        <w:rPr>
          <w:rFonts w:eastAsia="Times New Roman"/>
        </w:rPr>
        <w:t xml:space="preserve"> </w:t>
      </w:r>
      <w:r w:rsidRPr="004E5023">
        <w:rPr>
          <w:rFonts w:eastAsia="Times New Roman" w:cs="Arial"/>
        </w:rPr>
        <w:t>at least once each week; or</w:t>
      </w:r>
      <w:r w:rsidRPr="004E5023">
        <w:rPr>
          <w:rFonts w:eastAsia="Times New Roman"/>
        </w:rPr>
        <w:t xml:space="preserve"> </w:t>
      </w:r>
      <w:r w:rsidRPr="004E5023">
        <w:rPr>
          <w:rFonts w:eastAsia="Times New Roman" w:cs="Arial"/>
        </w:rPr>
        <w:t>on at least four days each month; and</w:t>
      </w:r>
    </w:p>
    <w:p w:rsidR="003A5431" w:rsidRPr="004E5023" w:rsidRDefault="003A5431" w:rsidP="003A5431">
      <w:pPr>
        <w:pStyle w:val="ListParagraph"/>
        <w:numPr>
          <w:ilvl w:val="0"/>
          <w:numId w:val="13"/>
        </w:numPr>
        <w:shd w:val="clear" w:color="auto" w:fill="FFFFFF"/>
        <w:spacing w:before="83" w:after="100" w:afterAutospacing="1" w:line="288" w:lineRule="atLeast"/>
        <w:jc w:val="both"/>
        <w:outlineLvl w:val="5"/>
        <w:rPr>
          <w:rFonts w:eastAsia="Times New Roman" w:cs="Arial"/>
        </w:rPr>
      </w:pPr>
      <w:r w:rsidRPr="004E5023">
        <w:rPr>
          <w:rFonts w:eastAsia="Times New Roman" w:cs="Arial"/>
        </w:rPr>
        <w:t>that contact is physical contact, or by</w:t>
      </w:r>
      <w:r w:rsidRPr="004E5023">
        <w:rPr>
          <w:rFonts w:eastAsia="Times New Roman"/>
        </w:rPr>
        <w:t xml:space="preserve"> </w:t>
      </w:r>
      <w:r w:rsidRPr="004E5023">
        <w:rPr>
          <w:rFonts w:eastAsia="Times New Roman" w:cs="Arial"/>
        </w:rPr>
        <w:t>oral communication (whether in person or by telephone), or</w:t>
      </w:r>
      <w:r w:rsidRPr="004E5023">
        <w:rPr>
          <w:rFonts w:eastAsia="Times New Roman"/>
        </w:rPr>
        <w:t xml:space="preserve"> </w:t>
      </w:r>
      <w:r w:rsidRPr="004E5023">
        <w:rPr>
          <w:rFonts w:eastAsia="Times New Roman" w:cs="Arial"/>
        </w:rPr>
        <w:t>communication through any electronic medium, including by way of writing or visual images.</w:t>
      </w:r>
    </w:p>
    <w:p w:rsidR="003A5431" w:rsidRPr="00DC0F4E" w:rsidRDefault="003A5431" w:rsidP="00314056">
      <w:pPr>
        <w:autoSpaceDE w:val="0"/>
        <w:autoSpaceDN w:val="0"/>
        <w:adjustRightInd w:val="0"/>
        <w:spacing w:after="0" w:line="360" w:lineRule="auto"/>
        <w:rPr>
          <w:rFonts w:ascii="Calibri" w:hAnsi="Calibri" w:cs="ArialMT-Mäori"/>
        </w:rPr>
      </w:pPr>
      <w:r w:rsidRPr="00DC0F4E">
        <w:rPr>
          <w:rFonts w:ascii="Calibri" w:hAnsi="Calibri" w:cs="ArialMT-Mäori"/>
          <w:b/>
        </w:rPr>
        <w:t xml:space="preserve">Disclosure </w:t>
      </w:r>
      <w:r w:rsidRPr="00DC0F4E">
        <w:rPr>
          <w:rFonts w:ascii="Calibri" w:hAnsi="Calibri" w:cs="ArialMT-Mäori"/>
        </w:rPr>
        <w:t>– information given to a staff member by the child, parent or caregiver or third</w:t>
      </w:r>
    </w:p>
    <w:p w:rsidR="003A5431" w:rsidRPr="003A5431" w:rsidRDefault="003A5431" w:rsidP="00314056">
      <w:pPr>
        <w:autoSpaceDE w:val="0"/>
        <w:autoSpaceDN w:val="0"/>
        <w:adjustRightInd w:val="0"/>
        <w:spacing w:after="0" w:line="360" w:lineRule="auto"/>
        <w:rPr>
          <w:rFonts w:ascii="Calibri" w:hAnsi="Calibri" w:cs="ArialMT-Mäori"/>
        </w:rPr>
      </w:pPr>
      <w:r w:rsidRPr="00DC0F4E">
        <w:rPr>
          <w:rFonts w:ascii="Calibri" w:hAnsi="Calibri" w:cs="ArialMT-Mäori"/>
        </w:rPr>
        <w:t>party in relation to abuse or neglect.</w:t>
      </w:r>
    </w:p>
    <w:p w:rsidR="003A5431" w:rsidRPr="00DC0F4E" w:rsidRDefault="003A5431" w:rsidP="00314056">
      <w:pPr>
        <w:autoSpaceDE w:val="0"/>
        <w:autoSpaceDN w:val="0"/>
        <w:adjustRightInd w:val="0"/>
        <w:spacing w:after="0" w:line="360" w:lineRule="auto"/>
        <w:rPr>
          <w:rFonts w:ascii="Calibri" w:hAnsi="Calibri" w:cs="ArialMT-Mäori"/>
        </w:rPr>
      </w:pPr>
      <w:r w:rsidRPr="00DC0F4E">
        <w:rPr>
          <w:rFonts w:ascii="Calibri" w:hAnsi="Calibri" w:cs="ArialMT-Mäori"/>
          <w:b/>
        </w:rPr>
        <w:t xml:space="preserve">Safer recruitment </w:t>
      </w:r>
      <w:r w:rsidRPr="00DC0F4E">
        <w:rPr>
          <w:rFonts w:ascii="Calibri" w:hAnsi="Calibri" w:cs="ArialMT-Mäori"/>
        </w:rPr>
        <w:t>– following good practice processes for pre-employment checking which</w:t>
      </w:r>
    </w:p>
    <w:p w:rsidR="003A5431" w:rsidRPr="00DC0F4E" w:rsidRDefault="003A5431" w:rsidP="00314056">
      <w:pPr>
        <w:autoSpaceDE w:val="0"/>
        <w:autoSpaceDN w:val="0"/>
        <w:adjustRightInd w:val="0"/>
        <w:spacing w:after="0" w:line="360" w:lineRule="auto"/>
        <w:rPr>
          <w:rFonts w:ascii="Calibri" w:hAnsi="Calibri" w:cs="ArialMT-Mäori"/>
        </w:rPr>
      </w:pPr>
      <w:r w:rsidRPr="00DC0F4E">
        <w:rPr>
          <w:rFonts w:ascii="Calibri" w:hAnsi="Calibri" w:cs="ArialMT-Mäori"/>
        </w:rPr>
        <w:t>help manage the risk of unsuitable persons entering the children’s workforce.</w:t>
      </w:r>
    </w:p>
    <w:p w:rsidR="003A5431" w:rsidRPr="00DC0F4E" w:rsidRDefault="003A5431" w:rsidP="00314056">
      <w:pPr>
        <w:autoSpaceDE w:val="0"/>
        <w:autoSpaceDN w:val="0"/>
        <w:adjustRightInd w:val="0"/>
        <w:spacing w:after="0" w:line="360" w:lineRule="auto"/>
        <w:rPr>
          <w:rFonts w:ascii="Calibri" w:hAnsi="Calibri" w:cs="ArialMT-Mäori"/>
        </w:rPr>
      </w:pPr>
      <w:r w:rsidRPr="00DC0F4E">
        <w:rPr>
          <w:rFonts w:ascii="Calibri" w:hAnsi="Calibri" w:cs="ArialMT-Mäori"/>
          <w:b/>
        </w:rPr>
        <w:t xml:space="preserve">Standard safety checking </w:t>
      </w:r>
      <w:r w:rsidRPr="00DC0F4E">
        <w:rPr>
          <w:rFonts w:ascii="Calibri" w:hAnsi="Calibri" w:cs="ArialMT-Mäori"/>
        </w:rPr>
        <w:t xml:space="preserve">– the </w:t>
      </w:r>
      <w:r>
        <w:rPr>
          <w:rFonts w:ascii="Calibri" w:hAnsi="Calibri" w:cs="ArialMT-Mäori"/>
        </w:rPr>
        <w:t xml:space="preserve">staged </w:t>
      </w:r>
      <w:r w:rsidRPr="00DC0F4E">
        <w:rPr>
          <w:rFonts w:ascii="Calibri" w:hAnsi="Calibri" w:cs="ArialMT-Mäori"/>
        </w:rPr>
        <w:t xml:space="preserve">process of safer recruitment that </w:t>
      </w:r>
      <w:r>
        <w:rPr>
          <w:rFonts w:ascii="Calibri" w:hAnsi="Calibri" w:cs="ArialMT-Mäori"/>
        </w:rPr>
        <w:t>is</w:t>
      </w:r>
      <w:r w:rsidRPr="00DC0F4E">
        <w:rPr>
          <w:rFonts w:ascii="Calibri" w:hAnsi="Calibri" w:cs="ArialMT-Mäori"/>
        </w:rPr>
        <w:t xml:space="preserve"> mandatory for</w:t>
      </w:r>
    </w:p>
    <w:p w:rsidR="003A5431" w:rsidRPr="00DC0F4E" w:rsidRDefault="003A5431" w:rsidP="00314056">
      <w:pPr>
        <w:autoSpaceDE w:val="0"/>
        <w:autoSpaceDN w:val="0"/>
        <w:adjustRightInd w:val="0"/>
        <w:spacing w:after="0" w:line="360" w:lineRule="auto"/>
        <w:rPr>
          <w:rFonts w:ascii="Calibri" w:hAnsi="Calibri" w:cs="ArialMT-Mäori"/>
        </w:rPr>
      </w:pPr>
      <w:r w:rsidRPr="00DC0F4E">
        <w:rPr>
          <w:rFonts w:ascii="Calibri" w:hAnsi="Calibri" w:cs="ArialMT-Mäori"/>
        </w:rPr>
        <w:t>organisations covered by the Vulnerable Children Act 2014.</w:t>
      </w:r>
    </w:p>
    <w:p w:rsidR="003A5431" w:rsidRPr="00DC0F4E" w:rsidRDefault="003A5431" w:rsidP="00314056">
      <w:pPr>
        <w:autoSpaceDE w:val="0"/>
        <w:autoSpaceDN w:val="0"/>
        <w:adjustRightInd w:val="0"/>
        <w:spacing w:after="0" w:line="360" w:lineRule="auto"/>
        <w:rPr>
          <w:rFonts w:ascii="Calibri" w:hAnsi="Calibri" w:cs="ArialMT-Mäori"/>
        </w:rPr>
      </w:pPr>
      <w:r w:rsidRPr="00DC0F4E">
        <w:rPr>
          <w:rFonts w:ascii="Calibri" w:hAnsi="Calibri" w:cs="ArialMT-Mäori"/>
          <w:b/>
        </w:rPr>
        <w:t xml:space="preserve">Workforce restriction </w:t>
      </w:r>
      <w:r w:rsidRPr="00DC0F4E">
        <w:rPr>
          <w:rFonts w:ascii="Calibri" w:hAnsi="Calibri" w:cs="ArialMT-Mäori"/>
        </w:rPr>
        <w:t>– a restriction on the employment or engagement of people with</w:t>
      </w:r>
    </w:p>
    <w:p w:rsidR="003A5431" w:rsidRDefault="003A5431" w:rsidP="00314056">
      <w:pPr>
        <w:autoSpaceDE w:val="0"/>
        <w:autoSpaceDN w:val="0"/>
        <w:adjustRightInd w:val="0"/>
        <w:spacing w:after="0" w:line="360" w:lineRule="auto"/>
        <w:rPr>
          <w:rFonts w:ascii="Calibri" w:hAnsi="Calibri" w:cs="ArialMT-Mäori"/>
        </w:rPr>
      </w:pPr>
      <w:r w:rsidRPr="00DC0F4E">
        <w:rPr>
          <w:rFonts w:ascii="Calibri" w:hAnsi="Calibri" w:cs="ArialMT-Mäori"/>
        </w:rPr>
        <w:t>certain specified convictions under the Vulnerable Children Act 2014.</w:t>
      </w:r>
    </w:p>
    <w:p w:rsidR="004E5023" w:rsidRDefault="004E5023">
      <w:pPr>
        <w:rPr>
          <w:b/>
        </w:rPr>
      </w:pPr>
      <w:r>
        <w:rPr>
          <w:b/>
        </w:rPr>
        <w:br w:type="page"/>
      </w:r>
    </w:p>
    <w:p w:rsidR="003A5431" w:rsidRDefault="003A5431" w:rsidP="003A5431">
      <w:pPr>
        <w:numPr>
          <w:ilvl w:val="0"/>
          <w:numId w:val="11"/>
        </w:numPr>
        <w:spacing w:before="60" w:after="60" w:line="240" w:lineRule="auto"/>
        <w:rPr>
          <w:b/>
        </w:rPr>
      </w:pPr>
      <w:r>
        <w:rPr>
          <w:b/>
        </w:rPr>
        <w:lastRenderedPageBreak/>
        <w:t>Policy statement</w:t>
      </w:r>
    </w:p>
    <w:p w:rsidR="003A5431" w:rsidRPr="005F3D1E" w:rsidRDefault="003A5431" w:rsidP="004E5023">
      <w:pPr>
        <w:autoSpaceDE w:val="0"/>
        <w:autoSpaceDN w:val="0"/>
        <w:adjustRightInd w:val="0"/>
        <w:spacing w:after="0"/>
        <w:rPr>
          <w:rFonts w:ascii="Calibri" w:hAnsi="Calibri" w:cs="ArialMT-Mäori"/>
        </w:rPr>
      </w:pPr>
      <w:r w:rsidRPr="005F3D1E">
        <w:rPr>
          <w:rFonts w:ascii="Calibri" w:hAnsi="Calibri" w:cs="ArialMT-Mäori"/>
        </w:rPr>
        <w:t>Te Kura will:</w:t>
      </w:r>
    </w:p>
    <w:p w:rsidR="003A5431" w:rsidRPr="005F3D1E" w:rsidRDefault="003A5431" w:rsidP="003A5431">
      <w:pPr>
        <w:numPr>
          <w:ilvl w:val="0"/>
          <w:numId w:val="12"/>
        </w:numPr>
        <w:autoSpaceDE w:val="0"/>
        <w:autoSpaceDN w:val="0"/>
        <w:adjustRightInd w:val="0"/>
        <w:spacing w:after="0" w:line="240" w:lineRule="auto"/>
        <w:rPr>
          <w:rFonts w:ascii="Calibri" w:hAnsi="Calibri" w:cs="ArialMT-Mäori"/>
        </w:rPr>
      </w:pPr>
      <w:r w:rsidRPr="005F3D1E">
        <w:rPr>
          <w:rFonts w:ascii="Calibri" w:hAnsi="Calibri" w:cs="ArialMT-Mäori"/>
        </w:rPr>
        <w:t>provide a safe environment</w:t>
      </w:r>
      <w:r>
        <w:rPr>
          <w:rFonts w:ascii="Calibri" w:hAnsi="Calibri" w:cs="ArialMT-Mäori"/>
        </w:rPr>
        <w:t xml:space="preserve"> for teaching and learning</w:t>
      </w:r>
      <w:r w:rsidRPr="005F3D1E">
        <w:rPr>
          <w:rFonts w:ascii="Calibri" w:hAnsi="Calibri" w:cs="ArialMT-Mäori"/>
        </w:rPr>
        <w:t>, free from physical, emotional, verbal or sexual abuse</w:t>
      </w:r>
    </w:p>
    <w:p w:rsidR="003A5431" w:rsidRPr="00E402FC" w:rsidRDefault="003A5431" w:rsidP="003A5431">
      <w:pPr>
        <w:numPr>
          <w:ilvl w:val="0"/>
          <w:numId w:val="12"/>
        </w:numPr>
        <w:autoSpaceDE w:val="0"/>
        <w:autoSpaceDN w:val="0"/>
        <w:adjustRightInd w:val="0"/>
        <w:spacing w:after="0" w:line="240" w:lineRule="auto"/>
        <w:rPr>
          <w:rFonts w:ascii="Calibri" w:hAnsi="Calibri" w:cs="ArialMT-Mäori"/>
        </w:rPr>
      </w:pPr>
      <w:r>
        <w:rPr>
          <w:rFonts w:ascii="Calibri" w:hAnsi="Calibri" w:cs="ArialMT-Mäori"/>
        </w:rPr>
        <w:t>w</w:t>
      </w:r>
      <w:r w:rsidRPr="00E402FC">
        <w:rPr>
          <w:rFonts w:ascii="Calibri" w:hAnsi="Calibri" w:cs="ArialMT-Mäori"/>
        </w:rPr>
        <w:t>ork to produce the best possible outcomes for the child and work towards continuous improvement in child protection practices</w:t>
      </w:r>
    </w:p>
    <w:p w:rsidR="003A5431" w:rsidRPr="00E402FC" w:rsidRDefault="003A5431" w:rsidP="003A5431">
      <w:pPr>
        <w:numPr>
          <w:ilvl w:val="0"/>
          <w:numId w:val="12"/>
        </w:numPr>
        <w:autoSpaceDE w:val="0"/>
        <w:autoSpaceDN w:val="0"/>
        <w:adjustRightInd w:val="0"/>
        <w:spacing w:after="0" w:line="240" w:lineRule="auto"/>
        <w:rPr>
          <w:rFonts w:ascii="Calibri" w:hAnsi="Calibri" w:cs="ArialMT-Mäori"/>
        </w:rPr>
      </w:pPr>
      <w:r>
        <w:rPr>
          <w:rFonts w:ascii="Calibri" w:hAnsi="Calibri" w:cs="ArialMT-Mäori"/>
        </w:rPr>
        <w:t>r</w:t>
      </w:r>
      <w:r w:rsidRPr="00E402FC">
        <w:rPr>
          <w:rFonts w:ascii="Calibri" w:hAnsi="Calibri" w:cs="ArialMT-Mäori"/>
        </w:rPr>
        <w:t>ecognise the culture of the family/wh</w:t>
      </w:r>
      <w:r w:rsidRPr="00E402FC">
        <w:rPr>
          <w:rFonts w:ascii="Calibri" w:hAnsi="Calibri" w:cs="ArialMT"/>
        </w:rPr>
        <w:t>ā</w:t>
      </w:r>
      <w:r w:rsidRPr="00E402FC">
        <w:rPr>
          <w:rFonts w:ascii="Calibri" w:hAnsi="Calibri" w:cs="ArialMT-Mäori"/>
        </w:rPr>
        <w:t>nau, its importance and the rights of family/whanau to participate in decision-making about their children.</w:t>
      </w:r>
    </w:p>
    <w:p w:rsidR="003A5431" w:rsidRPr="00E402FC" w:rsidRDefault="003A5431" w:rsidP="003A5431">
      <w:pPr>
        <w:numPr>
          <w:ilvl w:val="0"/>
          <w:numId w:val="12"/>
        </w:numPr>
        <w:autoSpaceDE w:val="0"/>
        <w:autoSpaceDN w:val="0"/>
        <w:adjustRightInd w:val="0"/>
        <w:spacing w:after="0" w:line="240" w:lineRule="auto"/>
        <w:rPr>
          <w:rFonts w:ascii="Calibri" w:hAnsi="Calibri" w:cs="ArialMT-Mäori"/>
        </w:rPr>
      </w:pPr>
      <w:r>
        <w:rPr>
          <w:rFonts w:ascii="Calibri" w:hAnsi="Calibri" w:cs="ArialMT-Mäori"/>
        </w:rPr>
        <w:t>m</w:t>
      </w:r>
      <w:r w:rsidRPr="00E402FC">
        <w:rPr>
          <w:rFonts w:ascii="Calibri" w:hAnsi="Calibri" w:cs="ArialMT-Mäori"/>
        </w:rPr>
        <w:t xml:space="preserve">ake the safety and wellbeing of children </w:t>
      </w:r>
      <w:r>
        <w:rPr>
          <w:rFonts w:ascii="Calibri" w:hAnsi="Calibri" w:cs="ArialMT-Mäori"/>
        </w:rPr>
        <w:t>Te Kura’s</w:t>
      </w:r>
      <w:r w:rsidRPr="00E402FC">
        <w:rPr>
          <w:rFonts w:ascii="Calibri" w:hAnsi="Calibri" w:cs="ArialMT-Mäori"/>
        </w:rPr>
        <w:t xml:space="preserve"> primary concern, with the child at the centre of all decision-making</w:t>
      </w:r>
    </w:p>
    <w:p w:rsidR="003A5431" w:rsidRPr="00E402FC" w:rsidRDefault="003A5431" w:rsidP="003A5431">
      <w:pPr>
        <w:numPr>
          <w:ilvl w:val="0"/>
          <w:numId w:val="12"/>
        </w:numPr>
        <w:autoSpaceDE w:val="0"/>
        <w:autoSpaceDN w:val="0"/>
        <w:adjustRightInd w:val="0"/>
        <w:spacing w:after="0" w:line="240" w:lineRule="auto"/>
        <w:rPr>
          <w:rFonts w:ascii="Calibri" w:hAnsi="Calibri" w:cs="ArialMT-Mäori"/>
        </w:rPr>
      </w:pPr>
      <w:r>
        <w:rPr>
          <w:rFonts w:ascii="Calibri" w:hAnsi="Calibri" w:cs="ArialMT-Mäori"/>
        </w:rPr>
        <w:t>e</w:t>
      </w:r>
      <w:r w:rsidRPr="00E402FC">
        <w:rPr>
          <w:rFonts w:ascii="Calibri" w:hAnsi="Calibri" w:cs="ArialMT-Mäori"/>
        </w:rPr>
        <w:t>nsure that all staff are able to identify the signs and symptoms of potential abuse and neglect</w:t>
      </w:r>
      <w:r>
        <w:rPr>
          <w:rFonts w:ascii="Calibri" w:hAnsi="Calibri" w:cs="ArialMT-Mäori"/>
        </w:rPr>
        <w:t>,</w:t>
      </w:r>
      <w:r w:rsidRPr="00E402FC">
        <w:rPr>
          <w:rFonts w:ascii="Calibri" w:hAnsi="Calibri" w:cs="ArialMT-Mäori"/>
        </w:rPr>
        <w:t xml:space="preserve"> are able to take appropriate action in response and will do so</w:t>
      </w:r>
      <w:r>
        <w:rPr>
          <w:rFonts w:ascii="Calibri" w:hAnsi="Calibri" w:cs="ArialMT-Mäori"/>
        </w:rPr>
        <w:t>, r</w:t>
      </w:r>
      <w:r w:rsidRPr="00E402FC">
        <w:rPr>
          <w:rFonts w:ascii="Calibri" w:hAnsi="Calibri" w:cs="ArialMT-Mäori"/>
        </w:rPr>
        <w:t>ecognis</w:t>
      </w:r>
      <w:r>
        <w:rPr>
          <w:rFonts w:ascii="Calibri" w:hAnsi="Calibri" w:cs="ArialMT-Mäori"/>
        </w:rPr>
        <w:t>ing</w:t>
      </w:r>
      <w:r w:rsidRPr="00E402FC">
        <w:rPr>
          <w:rFonts w:ascii="Calibri" w:hAnsi="Calibri" w:cs="ArialMT-Mäori"/>
        </w:rPr>
        <w:t xml:space="preserve"> the importance of early intervention and the principle of applying the least intrusive intervention necessary to protect vulnerable children</w:t>
      </w:r>
    </w:p>
    <w:p w:rsidR="003A5431" w:rsidRPr="00766AC5" w:rsidRDefault="003A5431" w:rsidP="003A5431">
      <w:pPr>
        <w:numPr>
          <w:ilvl w:val="0"/>
          <w:numId w:val="12"/>
        </w:numPr>
        <w:autoSpaceDE w:val="0"/>
        <w:autoSpaceDN w:val="0"/>
        <w:adjustRightInd w:val="0"/>
        <w:spacing w:before="60" w:after="60" w:line="240" w:lineRule="auto"/>
        <w:rPr>
          <w:rFonts w:ascii="Calibri" w:hAnsi="Calibri" w:cs="ArialMT-Mäori"/>
        </w:rPr>
      </w:pPr>
      <w:r w:rsidRPr="00E402FC">
        <w:rPr>
          <w:rFonts w:ascii="Calibri" w:hAnsi="Calibri" w:cs="ArialMT-Mäori"/>
        </w:rPr>
        <w:t xml:space="preserve">encourage staff to share information in a timely way and discuss any concerns about an individual child in accordance with the staff procedures on </w:t>
      </w:r>
      <w:r w:rsidRPr="00E402FC">
        <w:rPr>
          <w:rFonts w:ascii="Calibri" w:hAnsi="Calibri" w:cs="ArialMT-Mäori"/>
          <w:i/>
        </w:rPr>
        <w:t xml:space="preserve">Responding to </w:t>
      </w:r>
      <w:r>
        <w:rPr>
          <w:rFonts w:ascii="Calibri" w:hAnsi="Calibri" w:cs="ArialMT-Mäori"/>
          <w:i/>
        </w:rPr>
        <w:t>c</w:t>
      </w:r>
      <w:r w:rsidRPr="00E402FC">
        <w:rPr>
          <w:rFonts w:ascii="Calibri" w:hAnsi="Calibri" w:cs="ArialMT-Mäori"/>
          <w:i/>
        </w:rPr>
        <w:t xml:space="preserve">oncerns about </w:t>
      </w:r>
      <w:r>
        <w:rPr>
          <w:rFonts w:ascii="Calibri" w:hAnsi="Calibri" w:cs="ArialMT-Mäori"/>
          <w:i/>
        </w:rPr>
        <w:t>student s</w:t>
      </w:r>
      <w:r w:rsidRPr="00E402FC">
        <w:rPr>
          <w:rFonts w:ascii="Calibri" w:hAnsi="Calibri" w:cs="ArialMT-Mäori"/>
          <w:i/>
        </w:rPr>
        <w:t xml:space="preserve">afety </w:t>
      </w:r>
      <w:r w:rsidRPr="00E402FC">
        <w:rPr>
          <w:rFonts w:ascii="Calibri" w:hAnsi="Calibri" w:cs="ArialMT-Mäori"/>
        </w:rPr>
        <w:t>(posted on the intranet’s Policy framework page, under staff procedures)</w:t>
      </w:r>
    </w:p>
    <w:p w:rsidR="003A5431" w:rsidRPr="003A5431" w:rsidRDefault="003A5431" w:rsidP="00D06C36">
      <w:pPr>
        <w:numPr>
          <w:ilvl w:val="0"/>
          <w:numId w:val="12"/>
        </w:numPr>
        <w:autoSpaceDE w:val="0"/>
        <w:autoSpaceDN w:val="0"/>
        <w:adjustRightInd w:val="0"/>
        <w:spacing w:after="120" w:line="240" w:lineRule="auto"/>
        <w:rPr>
          <w:rFonts w:ascii="Calibri" w:hAnsi="Calibri" w:cs="ArialMT-Mäori"/>
        </w:rPr>
      </w:pPr>
      <w:r w:rsidRPr="005F3D1E">
        <w:rPr>
          <w:rFonts w:ascii="Calibri" w:hAnsi="Calibri" w:cs="ArialMT-Mäori"/>
        </w:rPr>
        <w:t xml:space="preserve">support the roles of the New Zealand Police and </w:t>
      </w:r>
      <w:r w:rsidR="00D06C36" w:rsidRPr="00D06C36">
        <w:rPr>
          <w:rFonts w:ascii="Calibri" w:hAnsi="Calibri" w:cs="ArialMT-Mäori"/>
        </w:rPr>
        <w:t xml:space="preserve">Oranga Tamariki </w:t>
      </w:r>
      <w:r w:rsidRPr="005F3D1E">
        <w:rPr>
          <w:rFonts w:ascii="Calibri" w:hAnsi="Calibri" w:cs="ArialMT-Mäori"/>
        </w:rPr>
        <w:t>in the</w:t>
      </w:r>
      <w:r>
        <w:rPr>
          <w:rFonts w:ascii="Calibri" w:hAnsi="Calibri" w:cs="ArialMT-Mäori"/>
        </w:rPr>
        <w:t xml:space="preserve"> </w:t>
      </w:r>
      <w:r w:rsidRPr="005F3D1E">
        <w:rPr>
          <w:rFonts w:ascii="Calibri" w:hAnsi="Calibri" w:cs="ArialMT-Mäori"/>
        </w:rPr>
        <w:t>investigation of suspected abuse and will report suspected/alleged abuse to these agencies</w:t>
      </w:r>
      <w:r>
        <w:rPr>
          <w:rFonts w:ascii="Calibri" w:hAnsi="Calibri" w:cs="ArialMT-Mäori"/>
        </w:rPr>
        <w:t xml:space="preserve"> in accordance with the staff procedures on </w:t>
      </w:r>
      <w:r w:rsidRPr="00766AC5">
        <w:rPr>
          <w:rFonts w:ascii="Calibri" w:hAnsi="Calibri" w:cs="ArialMT-Mäori"/>
          <w:i/>
        </w:rPr>
        <w:t>Responding to concerns about child safety</w:t>
      </w:r>
      <w:r>
        <w:rPr>
          <w:rFonts w:ascii="Calibri" w:hAnsi="Calibri" w:cs="ArialMT-Mäori"/>
          <w:i/>
        </w:rPr>
        <w:t>.</w:t>
      </w:r>
    </w:p>
    <w:p w:rsidR="003A5431" w:rsidRDefault="003A5431" w:rsidP="003A5431">
      <w:pPr>
        <w:numPr>
          <w:ilvl w:val="0"/>
          <w:numId w:val="11"/>
        </w:numPr>
        <w:spacing w:before="60" w:after="60" w:line="240" w:lineRule="auto"/>
        <w:rPr>
          <w:b/>
        </w:rPr>
      </w:pPr>
      <w:r w:rsidRPr="00322B0B">
        <w:rPr>
          <w:b/>
        </w:rPr>
        <w:t>Guidelines</w:t>
      </w:r>
    </w:p>
    <w:p w:rsidR="003A5431" w:rsidRPr="006B52CC" w:rsidRDefault="003A5431" w:rsidP="003A5431">
      <w:pPr>
        <w:numPr>
          <w:ilvl w:val="0"/>
          <w:numId w:val="12"/>
        </w:numPr>
        <w:autoSpaceDE w:val="0"/>
        <w:autoSpaceDN w:val="0"/>
        <w:adjustRightInd w:val="0"/>
        <w:spacing w:after="0" w:line="240" w:lineRule="auto"/>
        <w:rPr>
          <w:rFonts w:ascii="Calibri" w:hAnsi="Calibri" w:cs="ArialMT-Mäori"/>
        </w:rPr>
      </w:pPr>
      <w:r w:rsidRPr="006B52CC">
        <w:rPr>
          <w:rFonts w:ascii="Calibri" w:hAnsi="Calibri" w:cs="ArialMT-Mäori"/>
        </w:rPr>
        <w:t>Carry out recruitment and employment safety checking in accordance with the Vulnerable Children Act 2014.</w:t>
      </w:r>
      <w:r>
        <w:rPr>
          <w:rFonts w:ascii="Calibri" w:hAnsi="Calibri" w:cs="ArialMT-Mäori"/>
        </w:rPr>
        <w:t xml:space="preserve"> (Refer to Appendix 1 </w:t>
      </w:r>
      <w:r w:rsidRPr="00E97920">
        <w:rPr>
          <w:rFonts w:ascii="Calibri" w:hAnsi="Calibri" w:cs="ArialMT-Mäori"/>
          <w:i/>
        </w:rPr>
        <w:t>Guide to VCA Safety Checking</w:t>
      </w:r>
      <w:r>
        <w:rPr>
          <w:rFonts w:ascii="Calibri" w:hAnsi="Calibri" w:cs="ArialMT-Mäori"/>
        </w:rPr>
        <w:t xml:space="preserve"> flowchart.)</w:t>
      </w:r>
    </w:p>
    <w:p w:rsidR="003A5431" w:rsidRPr="006B52CC" w:rsidRDefault="003A5431" w:rsidP="003A5431">
      <w:pPr>
        <w:numPr>
          <w:ilvl w:val="0"/>
          <w:numId w:val="12"/>
        </w:numPr>
        <w:autoSpaceDE w:val="0"/>
        <w:autoSpaceDN w:val="0"/>
        <w:adjustRightInd w:val="0"/>
        <w:spacing w:after="0" w:line="240" w:lineRule="auto"/>
        <w:rPr>
          <w:rFonts w:ascii="Calibri" w:hAnsi="Calibri" w:cs="ArialMT-Mäori"/>
        </w:rPr>
      </w:pPr>
      <w:r w:rsidRPr="006B52CC">
        <w:rPr>
          <w:rFonts w:ascii="Calibri" w:hAnsi="Calibri" w:cs="ArialMT-Mäori"/>
        </w:rPr>
        <w:t>Provide appropriate training, including at the induction of new staff, to maintain and increase staff awareness of how to prevent, recognise and respond to child abuse.</w:t>
      </w:r>
    </w:p>
    <w:p w:rsidR="003A5431" w:rsidRPr="00E402FC" w:rsidRDefault="003A5431" w:rsidP="003A5431">
      <w:pPr>
        <w:numPr>
          <w:ilvl w:val="0"/>
          <w:numId w:val="12"/>
        </w:numPr>
        <w:autoSpaceDE w:val="0"/>
        <w:autoSpaceDN w:val="0"/>
        <w:adjustRightInd w:val="0"/>
        <w:spacing w:after="0" w:line="240" w:lineRule="auto"/>
        <w:rPr>
          <w:rFonts w:ascii="Calibri" w:hAnsi="Calibri" w:cs="ArialMT-Mäori"/>
        </w:rPr>
      </w:pPr>
      <w:r w:rsidRPr="006B52CC">
        <w:rPr>
          <w:rFonts w:ascii="Calibri" w:hAnsi="Calibri" w:cs="ArialMT-Mäori"/>
        </w:rPr>
        <w:t xml:space="preserve">All matters involving allegations against staff are to be </w:t>
      </w:r>
      <w:r>
        <w:rPr>
          <w:rFonts w:ascii="Calibri" w:hAnsi="Calibri" w:cs="ArialMT-Mäori"/>
        </w:rPr>
        <w:t xml:space="preserve">immediately </w:t>
      </w:r>
      <w:r w:rsidRPr="006B52CC">
        <w:rPr>
          <w:rFonts w:ascii="Calibri" w:hAnsi="Calibri" w:cs="ArialMT-Mäori"/>
        </w:rPr>
        <w:t xml:space="preserve">escalated in writing to the </w:t>
      </w:r>
      <w:r>
        <w:rPr>
          <w:rFonts w:ascii="Calibri" w:hAnsi="Calibri" w:cs="ArialMT-Mäori"/>
        </w:rPr>
        <w:t>Chief Executive (</w:t>
      </w:r>
      <w:r w:rsidRPr="006B52CC">
        <w:rPr>
          <w:rFonts w:ascii="Calibri" w:hAnsi="Calibri" w:cs="ArialMT-Mäori"/>
        </w:rPr>
        <w:t>CE</w:t>
      </w:r>
      <w:r>
        <w:rPr>
          <w:rFonts w:ascii="Calibri" w:hAnsi="Calibri" w:cs="ArialMT-Mäori"/>
        </w:rPr>
        <w:t>)</w:t>
      </w:r>
      <w:r w:rsidRPr="006B52CC">
        <w:rPr>
          <w:rFonts w:ascii="Calibri" w:hAnsi="Calibri" w:cs="ArialMT-Mäori"/>
        </w:rPr>
        <w:t xml:space="preserve"> as per the process outlined under the heading </w:t>
      </w:r>
      <w:r w:rsidRPr="00766AC5">
        <w:rPr>
          <w:rFonts w:ascii="Calibri" w:hAnsi="Calibri" w:cs="ArialMT-Mäori"/>
          <w:i/>
        </w:rPr>
        <w:t>Making a complaint</w:t>
      </w:r>
      <w:r w:rsidRPr="006B52CC">
        <w:rPr>
          <w:rFonts w:ascii="Calibri" w:hAnsi="Calibri" w:cs="ArialMT-Mäori"/>
        </w:rPr>
        <w:t xml:space="preserve"> in the staff procedures on </w:t>
      </w:r>
      <w:r w:rsidRPr="00FB23DB">
        <w:rPr>
          <w:rFonts w:ascii="Calibri" w:hAnsi="Calibri" w:cs="ArialMT-Mäori"/>
          <w:i/>
        </w:rPr>
        <w:t>Complaints – Procedures for dealing with complaints about staff</w:t>
      </w:r>
      <w:r w:rsidRPr="006B52CC">
        <w:rPr>
          <w:rFonts w:ascii="Calibri" w:hAnsi="Calibri" w:cs="ArialMT-Mäori"/>
        </w:rPr>
        <w:t xml:space="preserve"> (posted on the intranet’s Policy framework page, under staff procedures).</w:t>
      </w:r>
    </w:p>
    <w:p w:rsidR="003A5431" w:rsidRPr="006B52CC" w:rsidRDefault="003A5431" w:rsidP="003A5431">
      <w:pPr>
        <w:numPr>
          <w:ilvl w:val="0"/>
          <w:numId w:val="12"/>
        </w:numPr>
        <w:autoSpaceDE w:val="0"/>
        <w:autoSpaceDN w:val="0"/>
        <w:adjustRightInd w:val="0"/>
        <w:spacing w:after="0" w:line="240" w:lineRule="auto"/>
        <w:rPr>
          <w:rFonts w:ascii="Calibri" w:hAnsi="Calibri" w:cs="ArialMT-Mäori"/>
        </w:rPr>
      </w:pPr>
      <w:r w:rsidRPr="006B52CC">
        <w:rPr>
          <w:rFonts w:ascii="Calibri" w:hAnsi="Calibri" w:cs="ArialMT-Mäori"/>
        </w:rPr>
        <w:t>Understand that every situation is different and it is important to consider all available</w:t>
      </w:r>
    </w:p>
    <w:p w:rsidR="003A5431" w:rsidRDefault="003A5431" w:rsidP="003A5431">
      <w:pPr>
        <w:autoSpaceDE w:val="0"/>
        <w:autoSpaceDN w:val="0"/>
        <w:adjustRightInd w:val="0"/>
        <w:spacing w:after="0"/>
        <w:ind w:left="720"/>
        <w:rPr>
          <w:rFonts w:ascii="Calibri" w:hAnsi="Calibri" w:cs="ArialMT-Mäori"/>
        </w:rPr>
      </w:pPr>
      <w:r w:rsidRPr="006B52CC">
        <w:rPr>
          <w:rFonts w:ascii="Calibri" w:hAnsi="Calibri" w:cs="ArialMT-Mäori"/>
        </w:rPr>
        <w:t xml:space="preserve">information about the child and their environment before reaching conclusions. </w:t>
      </w:r>
    </w:p>
    <w:p w:rsidR="003A5431" w:rsidRPr="006B52CC" w:rsidRDefault="003A5431" w:rsidP="003A5431">
      <w:pPr>
        <w:numPr>
          <w:ilvl w:val="0"/>
          <w:numId w:val="12"/>
        </w:numPr>
        <w:autoSpaceDE w:val="0"/>
        <w:autoSpaceDN w:val="0"/>
        <w:adjustRightInd w:val="0"/>
        <w:spacing w:after="0" w:line="240" w:lineRule="auto"/>
        <w:rPr>
          <w:rFonts w:ascii="Calibri" w:hAnsi="Calibri" w:cs="ArialMT-Mäori"/>
        </w:rPr>
      </w:pPr>
      <w:r>
        <w:rPr>
          <w:rFonts w:ascii="Calibri" w:hAnsi="Calibri" w:cs="ArialMT-Mäori"/>
        </w:rPr>
        <w:t>Prioritise c</w:t>
      </w:r>
      <w:r w:rsidRPr="006B52CC">
        <w:rPr>
          <w:rFonts w:ascii="Calibri" w:hAnsi="Calibri" w:cs="ArialMT-Mäori"/>
        </w:rPr>
        <w:t>onsider</w:t>
      </w:r>
      <w:r>
        <w:rPr>
          <w:rFonts w:ascii="Calibri" w:hAnsi="Calibri" w:cs="ArialMT-Mäori"/>
        </w:rPr>
        <w:t>ing</w:t>
      </w:r>
      <w:r w:rsidRPr="006B52CC">
        <w:rPr>
          <w:rFonts w:ascii="Calibri" w:hAnsi="Calibri" w:cs="ArialMT-Mäori"/>
        </w:rPr>
        <w:t xml:space="preserve"> the overall wellbeing and risk of harm to the child</w:t>
      </w:r>
      <w:r>
        <w:rPr>
          <w:rFonts w:ascii="Calibri" w:hAnsi="Calibri" w:cs="ArialMT-Mäori"/>
        </w:rPr>
        <w:t xml:space="preserve"> rather than trying to</w:t>
      </w:r>
      <w:r w:rsidRPr="006B52CC">
        <w:rPr>
          <w:rFonts w:ascii="Calibri" w:hAnsi="Calibri" w:cs="ArialMT-Mäori"/>
        </w:rPr>
        <w:t xml:space="preserve"> categorise the type of abuse or neglect.</w:t>
      </w:r>
    </w:p>
    <w:p w:rsidR="003A5431" w:rsidRPr="00694963" w:rsidRDefault="003A5431" w:rsidP="003A5431">
      <w:pPr>
        <w:numPr>
          <w:ilvl w:val="0"/>
          <w:numId w:val="12"/>
        </w:numPr>
        <w:autoSpaceDE w:val="0"/>
        <w:autoSpaceDN w:val="0"/>
        <w:adjustRightInd w:val="0"/>
        <w:spacing w:after="0" w:line="240" w:lineRule="auto"/>
        <w:rPr>
          <w:rFonts w:ascii="Calibri" w:hAnsi="Calibri" w:cs="ArialMT-Mäori"/>
        </w:rPr>
      </w:pPr>
      <w:r w:rsidRPr="006B52CC">
        <w:rPr>
          <w:rFonts w:ascii="Calibri" w:hAnsi="Calibri" w:cs="ArialMT-Mäori"/>
        </w:rPr>
        <w:t>Te Kura staff who are concerned that a child is showing signs of potential abuse or neglect should not act alone.</w:t>
      </w:r>
      <w:r>
        <w:rPr>
          <w:rFonts w:ascii="Calibri" w:hAnsi="Calibri" w:cs="ArialMT-Mäori"/>
        </w:rPr>
        <w:t xml:space="preserve"> </w:t>
      </w:r>
      <w:r w:rsidRPr="00694963">
        <w:rPr>
          <w:rFonts w:ascii="Calibri" w:hAnsi="Calibri" w:cs="ArialMT-Mäori"/>
        </w:rPr>
        <w:t xml:space="preserve">Follow the procedures outlined in the staff procedures on </w:t>
      </w:r>
      <w:r w:rsidRPr="00694963">
        <w:rPr>
          <w:rFonts w:ascii="Calibri" w:hAnsi="Calibri" w:cs="ArialMT-Mäori"/>
          <w:i/>
        </w:rPr>
        <w:t xml:space="preserve">Responding to </w:t>
      </w:r>
      <w:r>
        <w:rPr>
          <w:rFonts w:ascii="Calibri" w:hAnsi="Calibri" w:cs="ArialMT-Mäori"/>
          <w:i/>
        </w:rPr>
        <w:t>c</w:t>
      </w:r>
      <w:r w:rsidRPr="00694963">
        <w:rPr>
          <w:rFonts w:ascii="Calibri" w:hAnsi="Calibri" w:cs="ArialMT-Mäori"/>
          <w:i/>
        </w:rPr>
        <w:t xml:space="preserve">oncerns about </w:t>
      </w:r>
      <w:r>
        <w:rPr>
          <w:rFonts w:ascii="Calibri" w:hAnsi="Calibri" w:cs="ArialMT-Mäori"/>
          <w:i/>
        </w:rPr>
        <w:t>student s</w:t>
      </w:r>
      <w:r w:rsidRPr="00694963">
        <w:rPr>
          <w:rFonts w:ascii="Calibri" w:hAnsi="Calibri" w:cs="ArialMT-Mäori"/>
          <w:i/>
        </w:rPr>
        <w:t>afety</w:t>
      </w:r>
      <w:r w:rsidRPr="006B52CC">
        <w:rPr>
          <w:rFonts w:ascii="Calibri" w:hAnsi="Calibri" w:cs="ArialMT-Mäori"/>
        </w:rPr>
        <w:t xml:space="preserve"> (posted on the intranet’s Policy framework page, under staff procedures).</w:t>
      </w:r>
    </w:p>
    <w:p w:rsidR="003A5431" w:rsidRDefault="003A5431" w:rsidP="00D06C36">
      <w:pPr>
        <w:numPr>
          <w:ilvl w:val="0"/>
          <w:numId w:val="12"/>
        </w:numPr>
        <w:autoSpaceDE w:val="0"/>
        <w:autoSpaceDN w:val="0"/>
        <w:adjustRightInd w:val="0"/>
        <w:spacing w:after="0" w:line="240" w:lineRule="auto"/>
        <w:rPr>
          <w:rFonts w:ascii="Calibri" w:hAnsi="Calibri" w:cs="ArialMT-Mäori"/>
        </w:rPr>
      </w:pPr>
      <w:r w:rsidRPr="006B52CC">
        <w:rPr>
          <w:rFonts w:ascii="Calibri" w:hAnsi="Calibri" w:cs="ArialMT-Mäori"/>
        </w:rPr>
        <w:t xml:space="preserve">It should be noted that the Privacy Act 1993 and the </w:t>
      </w:r>
      <w:r w:rsidR="00D06C36" w:rsidRPr="00D06C36">
        <w:rPr>
          <w:rFonts w:ascii="Calibri" w:hAnsi="Calibri" w:cs="ArialMT-Mäori"/>
        </w:rPr>
        <w:t>Oranga Tamariki Act 1989</w:t>
      </w:r>
      <w:r w:rsidRPr="006B52CC">
        <w:rPr>
          <w:rFonts w:ascii="Calibri" w:hAnsi="Calibri" w:cs="ArialMT-Mäori"/>
        </w:rPr>
        <w:t xml:space="preserve"> allow information to be shared to keep children safe when abuse or suspected abuse is reported or investigated.</w:t>
      </w:r>
    </w:p>
    <w:p w:rsidR="00314056" w:rsidRDefault="00314056">
      <w:pPr>
        <w:rPr>
          <w:b/>
        </w:rPr>
      </w:pPr>
      <w:r>
        <w:rPr>
          <w:b/>
        </w:rPr>
        <w:br w:type="page"/>
      </w:r>
    </w:p>
    <w:p w:rsidR="003A5431" w:rsidRPr="00322B0B" w:rsidRDefault="003A5431" w:rsidP="003A5431">
      <w:pPr>
        <w:numPr>
          <w:ilvl w:val="0"/>
          <w:numId w:val="11"/>
        </w:numPr>
        <w:spacing w:before="60" w:after="60" w:line="240" w:lineRule="auto"/>
        <w:rPr>
          <w:b/>
        </w:rPr>
      </w:pPr>
      <w:r w:rsidRPr="00322B0B">
        <w:rPr>
          <w:b/>
        </w:rPr>
        <w:lastRenderedPageBreak/>
        <w:t>Supporting documentation</w:t>
      </w:r>
    </w:p>
    <w:p w:rsidR="003A5431" w:rsidRDefault="003A5431" w:rsidP="00314056">
      <w:pPr>
        <w:autoSpaceDE w:val="0"/>
        <w:autoSpaceDN w:val="0"/>
        <w:adjustRightInd w:val="0"/>
        <w:spacing w:after="0" w:line="360" w:lineRule="auto"/>
        <w:ind w:left="360"/>
        <w:rPr>
          <w:rFonts w:ascii="Calibri" w:hAnsi="Calibri" w:cs="ArialMT-Mäori"/>
        </w:rPr>
      </w:pPr>
      <w:r w:rsidRPr="000207B0">
        <w:rPr>
          <w:rFonts w:ascii="Calibri" w:hAnsi="Calibri" w:cs="ArialMT-Mäori"/>
        </w:rPr>
        <w:t>Vulnerable Children Act 2014</w:t>
      </w:r>
    </w:p>
    <w:p w:rsidR="003A5431" w:rsidRPr="007553FF" w:rsidRDefault="003A5431" w:rsidP="00314056">
      <w:pPr>
        <w:autoSpaceDE w:val="0"/>
        <w:autoSpaceDN w:val="0"/>
        <w:adjustRightInd w:val="0"/>
        <w:spacing w:after="0" w:line="360" w:lineRule="auto"/>
        <w:ind w:left="360"/>
        <w:rPr>
          <w:rFonts w:ascii="Calibri" w:hAnsi="Calibri"/>
        </w:rPr>
      </w:pPr>
      <w:r w:rsidRPr="007553FF">
        <w:rPr>
          <w:rFonts w:ascii="Calibri" w:hAnsi="Calibri"/>
        </w:rPr>
        <w:t>Vulnerable Children (Requirements for Safety Checks of Children’s Workers) Regulations 2015</w:t>
      </w:r>
    </w:p>
    <w:p w:rsidR="003A5431" w:rsidRDefault="003A5431" w:rsidP="00314056">
      <w:pPr>
        <w:autoSpaceDE w:val="0"/>
        <w:autoSpaceDN w:val="0"/>
        <w:adjustRightInd w:val="0"/>
        <w:spacing w:after="0" w:line="360" w:lineRule="auto"/>
        <w:ind w:left="360"/>
        <w:rPr>
          <w:rFonts w:ascii="Calibri" w:hAnsi="Calibri" w:cs="ArialMT-Mäori"/>
        </w:rPr>
      </w:pPr>
      <w:r w:rsidRPr="000207B0">
        <w:rPr>
          <w:rFonts w:ascii="Calibri" w:hAnsi="Calibri" w:cs="ArialMT-Mäori"/>
        </w:rPr>
        <w:t xml:space="preserve">Care of Children Act 2004 </w:t>
      </w:r>
    </w:p>
    <w:p w:rsidR="003A5431" w:rsidRPr="000207B0" w:rsidRDefault="003A5431" w:rsidP="00314056">
      <w:pPr>
        <w:autoSpaceDE w:val="0"/>
        <w:autoSpaceDN w:val="0"/>
        <w:adjustRightInd w:val="0"/>
        <w:spacing w:after="0" w:line="360" w:lineRule="auto"/>
        <w:ind w:left="360"/>
        <w:rPr>
          <w:rFonts w:ascii="Calibri" w:hAnsi="Calibri" w:cs="ArialMT-Mäori"/>
        </w:rPr>
      </w:pPr>
      <w:r w:rsidRPr="000207B0">
        <w:rPr>
          <w:rFonts w:ascii="Calibri" w:hAnsi="Calibri" w:cs="ArialMT-Mäori"/>
        </w:rPr>
        <w:t>Domestic Violence Act 1995</w:t>
      </w:r>
    </w:p>
    <w:p w:rsidR="003A5431" w:rsidRDefault="003A5431" w:rsidP="00314056">
      <w:pPr>
        <w:autoSpaceDE w:val="0"/>
        <w:autoSpaceDN w:val="0"/>
        <w:adjustRightInd w:val="0"/>
        <w:spacing w:after="0" w:line="360" w:lineRule="auto"/>
        <w:ind w:left="360"/>
        <w:rPr>
          <w:rFonts w:ascii="Calibri" w:hAnsi="Calibri" w:cs="ArialMT-Mäori"/>
        </w:rPr>
      </w:pPr>
      <w:r>
        <w:rPr>
          <w:rFonts w:ascii="Calibri" w:hAnsi="Calibri" w:cs="ArialMT-Mäori"/>
        </w:rPr>
        <w:t>Privacy Act 1993</w:t>
      </w:r>
      <w:r w:rsidRPr="000207B0">
        <w:rPr>
          <w:rFonts w:ascii="Calibri" w:hAnsi="Calibri" w:cs="ArialMT-Mäori"/>
        </w:rPr>
        <w:t xml:space="preserve"> </w:t>
      </w:r>
    </w:p>
    <w:p w:rsidR="003A5431" w:rsidRDefault="003A5431" w:rsidP="00314056">
      <w:pPr>
        <w:autoSpaceDE w:val="0"/>
        <w:autoSpaceDN w:val="0"/>
        <w:adjustRightInd w:val="0"/>
        <w:spacing w:after="0" w:line="360" w:lineRule="auto"/>
        <w:ind w:left="360"/>
        <w:rPr>
          <w:rFonts w:ascii="Calibri" w:hAnsi="Calibri" w:cs="ArialMT-Mäori"/>
        </w:rPr>
      </w:pPr>
      <w:r w:rsidRPr="000207B0">
        <w:rPr>
          <w:rFonts w:ascii="Calibri" w:hAnsi="Calibri" w:cs="ArialMT-Mäori"/>
        </w:rPr>
        <w:t>Victims’ Rights Act 2002</w:t>
      </w:r>
    </w:p>
    <w:p w:rsidR="003A5431" w:rsidRPr="00F959B7" w:rsidRDefault="003A5431" w:rsidP="00314056">
      <w:pPr>
        <w:autoSpaceDE w:val="0"/>
        <w:autoSpaceDN w:val="0"/>
        <w:adjustRightInd w:val="0"/>
        <w:spacing w:after="0" w:line="360" w:lineRule="auto"/>
        <w:ind w:left="360"/>
        <w:rPr>
          <w:rFonts w:ascii="Calibri" w:hAnsi="Calibri" w:cs="ArialMT-Mäori"/>
        </w:rPr>
      </w:pPr>
      <w:r w:rsidRPr="00F959B7">
        <w:rPr>
          <w:rFonts w:ascii="Calibri" w:hAnsi="Calibri" w:cs="ArialMT-Mäori"/>
        </w:rPr>
        <w:t>Complaints – Procedures for dealing with complaints about staff</w:t>
      </w:r>
    </w:p>
    <w:p w:rsidR="003A5431" w:rsidRDefault="003A5431" w:rsidP="00314056">
      <w:pPr>
        <w:autoSpaceDE w:val="0"/>
        <w:autoSpaceDN w:val="0"/>
        <w:adjustRightInd w:val="0"/>
        <w:spacing w:after="0" w:line="360" w:lineRule="auto"/>
        <w:ind w:left="360"/>
        <w:rPr>
          <w:rFonts w:ascii="Calibri" w:hAnsi="Calibri" w:cs="ArialMT-Mäori"/>
        </w:rPr>
      </w:pPr>
      <w:r>
        <w:rPr>
          <w:rFonts w:ascii="Calibri" w:hAnsi="Calibri" w:cs="ArialMT-Mäori"/>
        </w:rPr>
        <w:t>Health and Safety Policy: Students</w:t>
      </w:r>
    </w:p>
    <w:p w:rsidR="003A5431" w:rsidRDefault="003A5431" w:rsidP="00314056">
      <w:pPr>
        <w:autoSpaceDE w:val="0"/>
        <w:autoSpaceDN w:val="0"/>
        <w:adjustRightInd w:val="0"/>
        <w:spacing w:after="0" w:line="360" w:lineRule="auto"/>
        <w:ind w:left="360"/>
        <w:rPr>
          <w:rFonts w:ascii="Calibri" w:hAnsi="Calibri" w:cs="ArialMT-Mäori"/>
        </w:rPr>
      </w:pPr>
      <w:r>
        <w:rPr>
          <w:rFonts w:ascii="Calibri" w:hAnsi="Calibri" w:cs="ArialMT-Mäori"/>
        </w:rPr>
        <w:t>Health and Safety: Students – Management Guidelines</w:t>
      </w:r>
    </w:p>
    <w:p w:rsidR="00D06C36" w:rsidRPr="000F0723" w:rsidRDefault="00D06C36" w:rsidP="00D06C36">
      <w:pPr>
        <w:autoSpaceDE w:val="0"/>
        <w:autoSpaceDN w:val="0"/>
        <w:adjustRightInd w:val="0"/>
        <w:spacing w:after="0" w:line="360" w:lineRule="auto"/>
        <w:ind w:left="360"/>
        <w:rPr>
          <w:rFonts w:ascii="Calibri" w:hAnsi="Calibri" w:cs="ArialMT-Mäori"/>
        </w:rPr>
      </w:pPr>
      <w:r>
        <w:rPr>
          <w:rFonts w:ascii="Calibri" w:hAnsi="Calibri" w:cs="Arial"/>
          <w:color w:val="000000"/>
        </w:rPr>
        <w:t>Oranga Tamariki</w:t>
      </w:r>
      <w:r w:rsidRPr="002C7FD0">
        <w:rPr>
          <w:rFonts w:ascii="Calibri" w:hAnsi="Calibri" w:cs="Arial"/>
          <w:color w:val="000000"/>
        </w:rPr>
        <w:t xml:space="preserve"> </w:t>
      </w:r>
      <w:r w:rsidRPr="000F0723">
        <w:rPr>
          <w:rFonts w:ascii="Calibri" w:hAnsi="Calibri" w:cs="ArialMT-Mäori"/>
        </w:rPr>
        <w:t>Act 1989</w:t>
      </w:r>
    </w:p>
    <w:p w:rsidR="003A5431" w:rsidRDefault="003A5431" w:rsidP="00314056">
      <w:pPr>
        <w:autoSpaceDE w:val="0"/>
        <w:autoSpaceDN w:val="0"/>
        <w:adjustRightInd w:val="0"/>
        <w:spacing w:after="0" w:line="360" w:lineRule="auto"/>
        <w:ind w:left="360"/>
        <w:rPr>
          <w:rFonts w:ascii="Calibri" w:hAnsi="Calibri" w:cs="ArialMT-Mäori"/>
        </w:rPr>
      </w:pPr>
      <w:r>
        <w:rPr>
          <w:rFonts w:ascii="Calibri" w:hAnsi="Calibri" w:cs="ArialMT-Mäori"/>
        </w:rPr>
        <w:t>Privacy Policy, Management Guidelines and Staff Procedures</w:t>
      </w:r>
    </w:p>
    <w:p w:rsidR="003A5431" w:rsidRDefault="003A5431" w:rsidP="00314056">
      <w:pPr>
        <w:autoSpaceDE w:val="0"/>
        <w:autoSpaceDN w:val="0"/>
        <w:adjustRightInd w:val="0"/>
        <w:spacing w:after="0" w:line="360" w:lineRule="auto"/>
        <w:ind w:left="360"/>
        <w:rPr>
          <w:rFonts w:ascii="Calibri" w:hAnsi="Calibri" w:cs="ArialMT-Mäori"/>
        </w:rPr>
      </w:pPr>
      <w:r>
        <w:rPr>
          <w:rFonts w:ascii="Calibri" w:hAnsi="Calibri" w:cs="ArialMT-Mäori"/>
        </w:rPr>
        <w:t>Recruitment of Staff Policy and Staff Procedures</w:t>
      </w:r>
    </w:p>
    <w:p w:rsidR="003A5431" w:rsidRDefault="003A5431" w:rsidP="00314056">
      <w:pPr>
        <w:autoSpaceDE w:val="0"/>
        <w:autoSpaceDN w:val="0"/>
        <w:adjustRightInd w:val="0"/>
        <w:spacing w:after="0" w:line="360" w:lineRule="auto"/>
        <w:ind w:left="360"/>
        <w:rPr>
          <w:rFonts w:ascii="Calibri" w:hAnsi="Calibri" w:cs="ArialMT-Mäori"/>
        </w:rPr>
      </w:pPr>
      <w:r>
        <w:rPr>
          <w:rFonts w:ascii="Calibri" w:hAnsi="Calibri" w:cs="ArialMT-Mäori"/>
        </w:rPr>
        <w:t>Responding to concerns about student safety ‒ Staff Procedures</w:t>
      </w:r>
    </w:p>
    <w:p w:rsidR="003A5431" w:rsidRPr="00314056" w:rsidRDefault="003A5431" w:rsidP="00314056">
      <w:pPr>
        <w:autoSpaceDE w:val="0"/>
        <w:autoSpaceDN w:val="0"/>
        <w:adjustRightInd w:val="0"/>
        <w:spacing w:after="0" w:line="360" w:lineRule="auto"/>
        <w:ind w:left="360"/>
        <w:rPr>
          <w:rFonts w:ascii="Calibri" w:hAnsi="Calibri" w:cs="ArialMT-Mäori"/>
        </w:rPr>
      </w:pPr>
      <w:r>
        <w:rPr>
          <w:rFonts w:ascii="Calibri" w:hAnsi="Calibri" w:cs="ArialMT-Mäori"/>
        </w:rPr>
        <w:t>Responding to a traumatic incident affecting a student ‒ Staff Procedures</w:t>
      </w:r>
    </w:p>
    <w:p w:rsidR="003A5431" w:rsidRPr="000207B0" w:rsidRDefault="003A5431" w:rsidP="00314056">
      <w:pPr>
        <w:autoSpaceDE w:val="0"/>
        <w:autoSpaceDN w:val="0"/>
        <w:adjustRightInd w:val="0"/>
        <w:spacing w:after="0" w:line="360" w:lineRule="auto"/>
        <w:ind w:left="360"/>
        <w:rPr>
          <w:rFonts w:ascii="Calibri" w:hAnsi="Calibri" w:cs="ArialMT-Mäori"/>
        </w:rPr>
      </w:pPr>
      <w:r>
        <w:rPr>
          <w:rFonts w:ascii="Calibri" w:hAnsi="Calibri" w:cs="ArialMT-Mäori"/>
          <w:color w:val="000000"/>
        </w:rPr>
        <w:t>U</w:t>
      </w:r>
      <w:r w:rsidRPr="0013434B">
        <w:rPr>
          <w:rFonts w:ascii="Calibri" w:hAnsi="Calibri" w:cs="ArialMT-Mäori"/>
          <w:color w:val="000000"/>
        </w:rPr>
        <w:t>seful</w:t>
      </w:r>
      <w:r>
        <w:rPr>
          <w:rFonts w:ascii="Calibri" w:hAnsi="Calibri" w:cs="ArialMT-Mäori"/>
          <w:color w:val="000000"/>
        </w:rPr>
        <w:t xml:space="preserve"> detailed</w:t>
      </w:r>
      <w:r w:rsidRPr="0013434B">
        <w:rPr>
          <w:rFonts w:ascii="Calibri" w:hAnsi="Calibri" w:cs="ArialMT-Mäori"/>
          <w:color w:val="000000"/>
        </w:rPr>
        <w:t xml:space="preserve"> information about identifying possible child abuse and an assessment framework</w:t>
      </w:r>
      <w:r>
        <w:rPr>
          <w:rFonts w:ascii="Calibri" w:hAnsi="Calibri" w:cs="ArialMT-Mäori"/>
          <w:color w:val="000000"/>
        </w:rPr>
        <w:t xml:space="preserve"> is contained in the </w:t>
      </w:r>
      <w:r w:rsidR="00D06C36">
        <w:rPr>
          <w:rFonts w:ascii="Calibri" w:hAnsi="Calibri" w:cs="Arial"/>
          <w:color w:val="000000"/>
        </w:rPr>
        <w:t>Oranga Tamariki</w:t>
      </w:r>
      <w:r w:rsidRPr="002C7FD0">
        <w:rPr>
          <w:rFonts w:ascii="Calibri" w:hAnsi="Calibri" w:cs="Arial"/>
          <w:color w:val="000000"/>
        </w:rPr>
        <w:t xml:space="preserve"> </w:t>
      </w:r>
      <w:r>
        <w:rPr>
          <w:rFonts w:ascii="Calibri" w:hAnsi="Calibri" w:cs="ArialMT-Mäori"/>
          <w:color w:val="000000"/>
        </w:rPr>
        <w:t xml:space="preserve">document </w:t>
      </w:r>
      <w:hyperlink r:id="rId9" w:history="1">
        <w:r w:rsidR="00D06C36">
          <w:rPr>
            <w:rStyle w:val="Hyperlink"/>
            <w:rFonts w:ascii="Calibri" w:hAnsi="Calibri"/>
            <w:i/>
          </w:rPr>
          <w:t>Working together - An interagency guide</w:t>
        </w:r>
      </w:hyperlink>
      <w:r>
        <w:rPr>
          <w:rFonts w:ascii="Calibri" w:hAnsi="Calibri"/>
          <w:color w:val="000000"/>
        </w:rPr>
        <w:t>.</w:t>
      </w:r>
    </w:p>
    <w:p w:rsidR="003A5431" w:rsidRPr="009A17F4" w:rsidRDefault="003A5431" w:rsidP="003A5431">
      <w:pPr>
        <w:pStyle w:val="BOTHeading2"/>
        <w:rPr>
          <w:rFonts w:asciiTheme="minorHAnsi" w:hAnsiTheme="minorHAnsi"/>
          <w:color w:val="auto"/>
          <w:sz w:val="22"/>
          <w:szCs w:val="22"/>
        </w:rPr>
      </w:pPr>
    </w:p>
    <w:p w:rsidR="003A5431" w:rsidRPr="009A17F4" w:rsidRDefault="003A5431" w:rsidP="003A5431"/>
    <w:p w:rsidR="003A5431" w:rsidRPr="009A17F4" w:rsidRDefault="003A5431" w:rsidP="003A5431">
      <w:pPr>
        <w:pStyle w:val="BOTHeading2"/>
        <w:rPr>
          <w:rFonts w:asciiTheme="minorHAnsi" w:hAnsiTheme="minorHAnsi"/>
          <w:color w:val="auto"/>
          <w:sz w:val="20"/>
          <w:szCs w:val="20"/>
        </w:rPr>
      </w:pPr>
    </w:p>
    <w:p w:rsidR="003A5431" w:rsidRPr="009A17F4" w:rsidRDefault="003A5431" w:rsidP="003A5431">
      <w:pPr>
        <w:pStyle w:val="BOTHeading2"/>
        <w:rPr>
          <w:rFonts w:asciiTheme="minorHAnsi" w:hAnsiTheme="minorHAnsi"/>
          <w:color w:val="auto"/>
          <w:sz w:val="20"/>
          <w:szCs w:val="20"/>
        </w:rPr>
      </w:pPr>
    </w:p>
    <w:p w:rsidR="003A5431" w:rsidRPr="009A17F4" w:rsidRDefault="003A5431" w:rsidP="003A5431">
      <w:pPr>
        <w:pStyle w:val="BOTHeading2"/>
        <w:rPr>
          <w:rFonts w:asciiTheme="minorHAnsi" w:hAnsiTheme="minorHAnsi"/>
          <w:color w:val="auto"/>
          <w:sz w:val="20"/>
          <w:szCs w:val="20"/>
        </w:rPr>
      </w:pPr>
      <w:r w:rsidRPr="009A17F4">
        <w:rPr>
          <w:rFonts w:asciiTheme="minorHAnsi" w:hAnsiTheme="minorHAnsi"/>
          <w:color w:val="auto"/>
          <w:sz w:val="20"/>
          <w:szCs w:val="20"/>
        </w:rPr>
        <w:t>------------------------------------------------------</w:t>
      </w:r>
      <w:r>
        <w:rPr>
          <w:rFonts w:asciiTheme="minorHAnsi" w:hAnsiTheme="minorHAnsi"/>
          <w:color w:val="auto"/>
          <w:sz w:val="20"/>
          <w:szCs w:val="20"/>
        </w:rPr>
        <w:tab/>
      </w:r>
      <w:r>
        <w:rPr>
          <w:rFonts w:asciiTheme="minorHAnsi" w:hAnsiTheme="minorHAnsi"/>
          <w:color w:val="auto"/>
          <w:sz w:val="20"/>
          <w:szCs w:val="20"/>
        </w:rPr>
        <w:tab/>
      </w:r>
      <w:r>
        <w:rPr>
          <w:rFonts w:asciiTheme="minorHAnsi" w:hAnsiTheme="minorHAnsi"/>
          <w:color w:val="auto"/>
          <w:sz w:val="20"/>
          <w:szCs w:val="20"/>
        </w:rPr>
        <w:tab/>
        <w:t>_________________________</w:t>
      </w:r>
    </w:p>
    <w:p w:rsidR="003A5431" w:rsidRPr="009A17F4" w:rsidRDefault="003A5431" w:rsidP="003A5431">
      <w:pPr>
        <w:pStyle w:val="BOTHeading2"/>
        <w:rPr>
          <w:rFonts w:asciiTheme="minorHAnsi" w:hAnsiTheme="minorHAnsi"/>
          <w:color w:val="auto"/>
          <w:sz w:val="22"/>
          <w:szCs w:val="22"/>
        </w:rPr>
      </w:pPr>
      <w:r w:rsidRPr="009A17F4">
        <w:rPr>
          <w:rFonts w:asciiTheme="minorHAnsi" w:hAnsiTheme="minorHAnsi"/>
          <w:color w:val="auto"/>
          <w:sz w:val="22"/>
          <w:szCs w:val="22"/>
        </w:rPr>
        <w:t>Approved as a governance policy</w:t>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t>Date</w:t>
      </w:r>
    </w:p>
    <w:p w:rsidR="003A5431" w:rsidRPr="009A17F4" w:rsidRDefault="003A5431" w:rsidP="003A5431">
      <w:pPr>
        <w:pStyle w:val="BOTHeading2"/>
        <w:rPr>
          <w:rFonts w:asciiTheme="minorHAnsi" w:hAnsiTheme="minorHAnsi"/>
          <w:color w:val="auto"/>
          <w:sz w:val="22"/>
          <w:szCs w:val="22"/>
        </w:rPr>
      </w:pPr>
    </w:p>
    <w:p w:rsidR="003A5431" w:rsidRPr="009A17F4" w:rsidRDefault="003A5431" w:rsidP="003A5431">
      <w:pPr>
        <w:pStyle w:val="BOTHeading2"/>
        <w:rPr>
          <w:rFonts w:asciiTheme="minorHAnsi" w:hAnsiTheme="minorHAnsi"/>
          <w:color w:val="auto"/>
          <w:sz w:val="22"/>
          <w:szCs w:val="22"/>
        </w:rPr>
      </w:pPr>
      <w:r>
        <w:rPr>
          <w:rFonts w:asciiTheme="minorHAnsi" w:hAnsiTheme="minorHAnsi"/>
          <w:color w:val="auto"/>
          <w:sz w:val="22"/>
          <w:szCs w:val="22"/>
        </w:rPr>
        <w:t>Karen Sewell</w:t>
      </w:r>
    </w:p>
    <w:p w:rsidR="003A5431" w:rsidRPr="009A17F4" w:rsidRDefault="003A5431" w:rsidP="003A5431">
      <w:pPr>
        <w:pStyle w:val="BOTHeading2"/>
        <w:rPr>
          <w:rFonts w:asciiTheme="minorHAnsi" w:hAnsiTheme="minorHAnsi"/>
          <w:color w:val="auto"/>
          <w:sz w:val="22"/>
          <w:szCs w:val="22"/>
        </w:rPr>
      </w:pPr>
      <w:r w:rsidRPr="009A17F4">
        <w:rPr>
          <w:rFonts w:asciiTheme="minorHAnsi" w:hAnsiTheme="minorHAnsi"/>
          <w:color w:val="auto"/>
          <w:sz w:val="22"/>
          <w:szCs w:val="22"/>
        </w:rPr>
        <w:t>Chair</w:t>
      </w:r>
    </w:p>
    <w:p w:rsidR="00314056" w:rsidRPr="00314056" w:rsidRDefault="003A5431" w:rsidP="00314056">
      <w:pPr>
        <w:pStyle w:val="BOTHeading2"/>
        <w:rPr>
          <w:rFonts w:asciiTheme="minorHAnsi" w:hAnsiTheme="minorHAnsi"/>
          <w:color w:val="auto"/>
          <w:sz w:val="22"/>
          <w:szCs w:val="22"/>
        </w:rPr>
        <w:sectPr w:rsidR="00314056" w:rsidRPr="00314056" w:rsidSect="003A5431">
          <w:headerReference w:type="default" r:id="rId10"/>
          <w:footerReference w:type="even" r:id="rId11"/>
          <w:footerReference w:type="default" r:id="rId12"/>
          <w:pgSz w:w="12240" w:h="15840"/>
          <w:pgMar w:top="1440" w:right="1800" w:bottom="1134" w:left="1800" w:header="708" w:footer="708" w:gutter="0"/>
          <w:pgNumType w:start="1"/>
          <w:cols w:space="708"/>
          <w:docGrid w:linePitch="360"/>
        </w:sectPr>
      </w:pPr>
      <w:r w:rsidRPr="009A17F4">
        <w:rPr>
          <w:rFonts w:asciiTheme="minorHAnsi" w:hAnsiTheme="minorHAnsi"/>
          <w:color w:val="auto"/>
          <w:sz w:val="22"/>
          <w:szCs w:val="22"/>
        </w:rPr>
        <w:t>Board of Trustees</w:t>
      </w:r>
    </w:p>
    <w:p w:rsidR="00314056" w:rsidRDefault="00314056" w:rsidP="00314056">
      <w:pPr>
        <w:rPr>
          <w:sz w:val="20"/>
          <w:szCs w:val="20"/>
        </w:rPr>
      </w:pPr>
      <w:r>
        <w:rPr>
          <w:sz w:val="20"/>
          <w:szCs w:val="20"/>
        </w:rPr>
        <w:lastRenderedPageBreak/>
        <w:t>Appendix 1</w:t>
      </w:r>
    </w:p>
    <w:p w:rsidR="004B41E6" w:rsidRDefault="004E5023" w:rsidP="00314056">
      <w:pPr>
        <w:jc w:val="center"/>
        <w:sectPr w:rsidR="004B41E6" w:rsidSect="00314056">
          <w:headerReference w:type="default" r:id="rId13"/>
          <w:footerReference w:type="default" r:id="rId14"/>
          <w:pgSz w:w="15840" w:h="12240" w:orient="landscape"/>
          <w:pgMar w:top="1440" w:right="1440" w:bottom="1440" w:left="1440" w:header="720" w:footer="720" w:gutter="0"/>
          <w:cols w:space="720"/>
          <w:docGrid w:linePitch="360"/>
        </w:sectPr>
      </w:pPr>
      <w:r>
        <w:object w:dxaOrig="15532" w:dyaOrig="11111" w14:anchorId="45BC8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25pt;height:424.5pt" o:ole="">
            <v:imagedata r:id="rId15" o:title=""/>
          </v:shape>
          <o:OLEObject Type="Embed" ProgID="Visio.Drawing.11" ShapeID="_x0000_i1025" DrawAspect="Content" ObjectID="_1581748762" r:id="rId16"/>
        </w:object>
      </w:r>
    </w:p>
    <w:p w:rsidR="000A56AA" w:rsidRDefault="001A186D" w:rsidP="001A186D">
      <w:pPr>
        <w:rPr>
          <w:b/>
          <w:sz w:val="24"/>
          <w:szCs w:val="24"/>
        </w:rPr>
      </w:pPr>
      <w:r w:rsidRPr="001A186D">
        <w:rPr>
          <w:b/>
          <w:sz w:val="24"/>
          <w:szCs w:val="24"/>
        </w:rPr>
        <w:lastRenderedPageBreak/>
        <w:t>Annex 2</w:t>
      </w:r>
    </w:p>
    <w:p w:rsidR="001A186D" w:rsidRDefault="001A186D" w:rsidP="001A186D">
      <w:pPr>
        <w:rPr>
          <w:b/>
        </w:rPr>
      </w:pPr>
      <w:r>
        <w:rPr>
          <w:b/>
        </w:rPr>
        <w:t>Guide to VCA Safety Checking for internships</w:t>
      </w:r>
    </w:p>
    <w:p w:rsidR="001A186D" w:rsidRDefault="001A186D" w:rsidP="001A186D"/>
    <w:tbl>
      <w:tblPr>
        <w:tblStyle w:val="TableGrid"/>
        <w:tblW w:w="0" w:type="auto"/>
        <w:tblLook w:val="04A0" w:firstRow="1" w:lastRow="0" w:firstColumn="1" w:lastColumn="0" w:noHBand="0" w:noVBand="1"/>
      </w:tblPr>
      <w:tblGrid>
        <w:gridCol w:w="1242"/>
        <w:gridCol w:w="2268"/>
        <w:gridCol w:w="5732"/>
      </w:tblGrid>
      <w:tr w:rsidR="001A186D" w:rsidTr="001A186D">
        <w:tc>
          <w:tcPr>
            <w:tcW w:w="1242" w:type="dxa"/>
            <w:tcBorders>
              <w:top w:val="single" w:sz="4" w:space="0" w:color="auto"/>
              <w:left w:val="single" w:sz="4" w:space="0" w:color="auto"/>
              <w:bottom w:val="single" w:sz="4" w:space="0" w:color="auto"/>
              <w:right w:val="single" w:sz="4" w:space="0" w:color="auto"/>
            </w:tcBorders>
          </w:tcPr>
          <w:p w:rsidR="001A186D" w:rsidRDefault="001A186D">
            <w:pPr>
              <w:rPr>
                <w:b/>
              </w:rPr>
            </w:pPr>
            <w:r>
              <w:rPr>
                <w:b/>
              </w:rPr>
              <w:t>Level 1</w:t>
            </w:r>
          </w:p>
          <w:p w:rsidR="001A186D" w:rsidRDefault="001A186D">
            <w:pPr>
              <w:rPr>
                <w:b/>
              </w:rPr>
            </w:pPr>
          </w:p>
        </w:tc>
        <w:tc>
          <w:tcPr>
            <w:tcW w:w="2268" w:type="dxa"/>
            <w:tcBorders>
              <w:top w:val="single" w:sz="4" w:space="0" w:color="auto"/>
              <w:left w:val="single" w:sz="4" w:space="0" w:color="auto"/>
              <w:bottom w:val="single" w:sz="4" w:space="0" w:color="auto"/>
              <w:right w:val="single" w:sz="4" w:space="0" w:color="auto"/>
            </w:tcBorders>
            <w:hideMark/>
          </w:tcPr>
          <w:p w:rsidR="001A186D" w:rsidRDefault="001A186D">
            <w:pPr>
              <w:spacing w:after="120"/>
            </w:pPr>
            <w:r>
              <w:t xml:space="preserve">The student has a work experience placement in a business which is </w:t>
            </w:r>
            <w:r>
              <w:rPr>
                <w:b/>
                <w:i/>
                <w:u w:val="single"/>
              </w:rPr>
              <w:t>not</w:t>
            </w:r>
            <w:r>
              <w:t xml:space="preserve"> a regulated service</w:t>
            </w:r>
            <w:r>
              <w:rPr>
                <w:rStyle w:val="FootnoteReference"/>
              </w:rPr>
              <w:footnoteReference w:id="1"/>
            </w:r>
          </w:p>
        </w:tc>
        <w:tc>
          <w:tcPr>
            <w:tcW w:w="5732" w:type="dxa"/>
            <w:tcBorders>
              <w:top w:val="single" w:sz="4" w:space="0" w:color="auto"/>
              <w:left w:val="single" w:sz="4" w:space="0" w:color="auto"/>
              <w:bottom w:val="single" w:sz="4" w:space="0" w:color="auto"/>
              <w:right w:val="single" w:sz="4" w:space="0" w:color="auto"/>
            </w:tcBorders>
            <w:hideMark/>
          </w:tcPr>
          <w:p w:rsidR="001A186D" w:rsidRDefault="001A186D" w:rsidP="001A186D">
            <w:pPr>
              <w:pStyle w:val="ListParagraph"/>
              <w:numPr>
                <w:ilvl w:val="0"/>
                <w:numId w:val="14"/>
              </w:numPr>
              <w:spacing w:after="120"/>
              <w:ind w:left="357" w:hanging="357"/>
            </w:pPr>
            <w:r>
              <w:t xml:space="preserve">The Police vetting requirements </w:t>
            </w:r>
            <w:r>
              <w:rPr>
                <w:b/>
              </w:rPr>
              <w:t>don’t apply</w:t>
            </w:r>
            <w:r>
              <w:t xml:space="preserve"> to either the workers or the students.</w:t>
            </w:r>
          </w:p>
          <w:p w:rsidR="001A186D" w:rsidRDefault="001A186D" w:rsidP="001A186D">
            <w:pPr>
              <w:pStyle w:val="ListParagraph"/>
              <w:numPr>
                <w:ilvl w:val="0"/>
                <w:numId w:val="14"/>
              </w:numPr>
              <w:spacing w:after="120"/>
              <w:ind w:left="357" w:hanging="357"/>
            </w:pPr>
            <w:r>
              <w:t xml:space="preserve">The VCA safety checking requirements </w:t>
            </w:r>
            <w:r>
              <w:rPr>
                <w:b/>
              </w:rPr>
              <w:t>don’t apply</w:t>
            </w:r>
            <w:r>
              <w:t xml:space="preserve"> as the business is not a regulated service.</w:t>
            </w:r>
          </w:p>
        </w:tc>
      </w:tr>
      <w:tr w:rsidR="001A186D" w:rsidTr="001A186D">
        <w:trPr>
          <w:trHeight w:val="1625"/>
        </w:trPr>
        <w:tc>
          <w:tcPr>
            <w:tcW w:w="1242" w:type="dxa"/>
            <w:tcBorders>
              <w:top w:val="single" w:sz="4" w:space="0" w:color="auto"/>
              <w:left w:val="single" w:sz="4" w:space="0" w:color="auto"/>
              <w:bottom w:val="single" w:sz="4" w:space="0" w:color="auto"/>
              <w:right w:val="single" w:sz="4" w:space="0" w:color="auto"/>
            </w:tcBorders>
            <w:hideMark/>
          </w:tcPr>
          <w:p w:rsidR="001A186D" w:rsidRDefault="001A186D">
            <w:pPr>
              <w:rPr>
                <w:b/>
              </w:rPr>
            </w:pPr>
            <w:r>
              <w:rPr>
                <w:b/>
              </w:rPr>
              <w:t>Level 2</w:t>
            </w:r>
          </w:p>
        </w:tc>
        <w:tc>
          <w:tcPr>
            <w:tcW w:w="2268" w:type="dxa"/>
            <w:tcBorders>
              <w:top w:val="single" w:sz="4" w:space="0" w:color="auto"/>
              <w:left w:val="single" w:sz="4" w:space="0" w:color="auto"/>
              <w:bottom w:val="single" w:sz="4" w:space="0" w:color="auto"/>
              <w:right w:val="single" w:sz="4" w:space="0" w:color="auto"/>
            </w:tcBorders>
            <w:hideMark/>
          </w:tcPr>
          <w:p w:rsidR="001A186D" w:rsidRDefault="001A186D">
            <w:pPr>
              <w:spacing w:after="120"/>
            </w:pPr>
            <w:r>
              <w:t>The student has a work experience placement in a (non-education) regulated service as a children’s worker</w:t>
            </w:r>
          </w:p>
        </w:tc>
        <w:tc>
          <w:tcPr>
            <w:tcW w:w="5732" w:type="dxa"/>
            <w:tcBorders>
              <w:top w:val="single" w:sz="4" w:space="0" w:color="auto"/>
              <w:left w:val="single" w:sz="4" w:space="0" w:color="auto"/>
              <w:bottom w:val="single" w:sz="4" w:space="0" w:color="auto"/>
              <w:right w:val="single" w:sz="4" w:space="0" w:color="auto"/>
            </w:tcBorders>
            <w:hideMark/>
          </w:tcPr>
          <w:p w:rsidR="001A186D" w:rsidRDefault="001A186D" w:rsidP="001A186D">
            <w:pPr>
              <w:pStyle w:val="ListParagraph"/>
              <w:numPr>
                <w:ilvl w:val="0"/>
                <w:numId w:val="14"/>
              </w:numPr>
              <w:spacing w:after="120"/>
              <w:ind w:left="357" w:hanging="357"/>
            </w:pPr>
            <w:r>
              <w:t xml:space="preserve">The Police vetting requirements </w:t>
            </w:r>
            <w:r>
              <w:rPr>
                <w:b/>
              </w:rPr>
              <w:t>don’t apply</w:t>
            </w:r>
            <w:r>
              <w:t xml:space="preserve"> to either the workers or the students.</w:t>
            </w:r>
          </w:p>
          <w:p w:rsidR="001A186D" w:rsidRDefault="001A186D" w:rsidP="001A186D">
            <w:pPr>
              <w:pStyle w:val="ListParagraph"/>
              <w:numPr>
                <w:ilvl w:val="0"/>
                <w:numId w:val="14"/>
              </w:numPr>
              <w:spacing w:after="120"/>
              <w:ind w:left="357" w:hanging="357"/>
            </w:pPr>
            <w:r>
              <w:t xml:space="preserve">The VCA safety checking requirements </w:t>
            </w:r>
            <w:r>
              <w:rPr>
                <w:b/>
              </w:rPr>
              <w:t>do apply</w:t>
            </w:r>
            <w:r>
              <w:t xml:space="preserve"> as the organisation is a regulated service. </w:t>
            </w:r>
          </w:p>
        </w:tc>
      </w:tr>
      <w:tr w:rsidR="001A186D" w:rsidTr="001A186D">
        <w:trPr>
          <w:trHeight w:val="1438"/>
        </w:trPr>
        <w:tc>
          <w:tcPr>
            <w:tcW w:w="1242" w:type="dxa"/>
            <w:tcBorders>
              <w:top w:val="single" w:sz="4" w:space="0" w:color="auto"/>
              <w:left w:val="single" w:sz="4" w:space="0" w:color="auto"/>
              <w:bottom w:val="single" w:sz="4" w:space="0" w:color="auto"/>
              <w:right w:val="single" w:sz="4" w:space="0" w:color="auto"/>
            </w:tcBorders>
            <w:hideMark/>
          </w:tcPr>
          <w:p w:rsidR="001A186D" w:rsidRDefault="001A186D">
            <w:pPr>
              <w:rPr>
                <w:b/>
              </w:rPr>
            </w:pPr>
            <w:r>
              <w:rPr>
                <w:b/>
              </w:rPr>
              <w:t>Level 3</w:t>
            </w:r>
          </w:p>
        </w:tc>
        <w:tc>
          <w:tcPr>
            <w:tcW w:w="2268" w:type="dxa"/>
            <w:tcBorders>
              <w:top w:val="single" w:sz="4" w:space="0" w:color="auto"/>
              <w:left w:val="single" w:sz="4" w:space="0" w:color="auto"/>
              <w:bottom w:val="single" w:sz="4" w:space="0" w:color="auto"/>
              <w:right w:val="single" w:sz="4" w:space="0" w:color="auto"/>
            </w:tcBorders>
            <w:hideMark/>
          </w:tcPr>
          <w:p w:rsidR="001A186D" w:rsidRDefault="001A186D">
            <w:r>
              <w:t>The student has a work experience placement in a Service or school or as a children’s worker</w:t>
            </w:r>
          </w:p>
        </w:tc>
        <w:tc>
          <w:tcPr>
            <w:tcW w:w="5732" w:type="dxa"/>
            <w:tcBorders>
              <w:top w:val="single" w:sz="4" w:space="0" w:color="auto"/>
              <w:left w:val="single" w:sz="4" w:space="0" w:color="auto"/>
              <w:bottom w:val="single" w:sz="4" w:space="0" w:color="auto"/>
              <w:right w:val="single" w:sz="4" w:space="0" w:color="auto"/>
            </w:tcBorders>
            <w:hideMark/>
          </w:tcPr>
          <w:p w:rsidR="001A186D" w:rsidRDefault="001A186D" w:rsidP="001A186D">
            <w:pPr>
              <w:pStyle w:val="ListParagraph"/>
              <w:numPr>
                <w:ilvl w:val="0"/>
                <w:numId w:val="14"/>
              </w:numPr>
              <w:spacing w:after="120"/>
              <w:ind w:left="357" w:hanging="357"/>
            </w:pPr>
            <w:r>
              <w:t xml:space="preserve">The Police vetting requirements </w:t>
            </w:r>
            <w:r>
              <w:rPr>
                <w:b/>
              </w:rPr>
              <w:t>do apply</w:t>
            </w:r>
            <w:r>
              <w:t xml:space="preserve"> to the workers but don’t apply to students.</w:t>
            </w:r>
          </w:p>
          <w:p w:rsidR="001A186D" w:rsidRDefault="001A186D" w:rsidP="001A186D">
            <w:pPr>
              <w:pStyle w:val="ListParagraph"/>
              <w:numPr>
                <w:ilvl w:val="0"/>
                <w:numId w:val="14"/>
              </w:numPr>
              <w:spacing w:after="120"/>
              <w:ind w:left="357" w:hanging="357"/>
            </w:pPr>
            <w:r>
              <w:t xml:space="preserve">The VCA safety checking requirements </w:t>
            </w:r>
            <w:r>
              <w:rPr>
                <w:b/>
              </w:rPr>
              <w:t>do apply</w:t>
            </w:r>
            <w:r>
              <w:t xml:space="preserve"> to workers.</w:t>
            </w:r>
          </w:p>
        </w:tc>
      </w:tr>
    </w:tbl>
    <w:p w:rsidR="001A186D" w:rsidRDefault="001A186D" w:rsidP="001A186D">
      <w:pPr>
        <w:rPr>
          <w:lang w:eastAsia="en-US"/>
        </w:rPr>
      </w:pPr>
    </w:p>
    <w:p w:rsidR="001A186D" w:rsidRDefault="001A186D" w:rsidP="001A186D"/>
    <w:p w:rsidR="001A186D" w:rsidRDefault="001A186D" w:rsidP="001A186D">
      <w:r>
        <w:br w:type="page"/>
      </w:r>
    </w:p>
    <w:p w:rsidR="001A186D" w:rsidRDefault="001A186D" w:rsidP="001A186D">
      <w:pPr>
        <w:jc w:val="center"/>
        <w:rPr>
          <w:b/>
        </w:rPr>
      </w:pPr>
      <w:r>
        <w:rPr>
          <w:b/>
        </w:rPr>
        <w:lastRenderedPageBreak/>
        <w:t>Schedule 1 - Regulated services</w:t>
      </w:r>
    </w:p>
    <w:p w:rsidR="001A186D" w:rsidRDefault="001A186D" w:rsidP="001A186D">
      <w:pPr>
        <w:spacing w:after="120"/>
        <w:rPr>
          <w:b/>
          <w:i/>
        </w:rPr>
      </w:pPr>
      <w:r>
        <w:rPr>
          <w:b/>
          <w:i/>
        </w:rPr>
        <w:t>Welfare, support, and justice services</w:t>
      </w:r>
    </w:p>
    <w:p w:rsidR="001A186D" w:rsidRDefault="001A186D" w:rsidP="001A186D">
      <w:pPr>
        <w:pStyle w:val="ListParagraph"/>
        <w:numPr>
          <w:ilvl w:val="0"/>
          <w:numId w:val="15"/>
        </w:numPr>
        <w:spacing w:after="120"/>
        <w:ind w:left="357" w:hanging="357"/>
      </w:pPr>
      <w:r>
        <w:t>services provided (including the performance or exercise of functions and powers) under the </w:t>
      </w:r>
      <w:bookmarkStart w:id="1" w:name="DLM147087"/>
      <w:r>
        <w:fldChar w:fldCharType="begin"/>
      </w:r>
      <w:r>
        <w:instrText xml:space="preserve"> HYPERLINK "http://www.legislation.govt.nz/act/public/2014/0040/latest/link.aspx?search=sw_096be8ed8160896f_schedule+1_25_se&amp;p=2&amp;id=DLM147087" \l "DLM147087" </w:instrText>
      </w:r>
      <w:r>
        <w:fldChar w:fldCharType="separate"/>
      </w:r>
      <w:r>
        <w:rPr>
          <w:rStyle w:val="Hyperlink"/>
          <w:color w:val="auto"/>
        </w:rPr>
        <w:t>Oranga Tamariki Act 1989</w:t>
      </w:r>
      <w:r>
        <w:fldChar w:fldCharType="end"/>
      </w:r>
      <w:r>
        <w:t> by the department responsible for the administration of that Act, or by any care and protection co-ordinator or youth justice co-ordinator:</w:t>
      </w:r>
    </w:p>
    <w:p w:rsidR="001A186D" w:rsidRDefault="001A186D" w:rsidP="001A186D">
      <w:pPr>
        <w:pStyle w:val="ListParagraph"/>
        <w:numPr>
          <w:ilvl w:val="0"/>
          <w:numId w:val="15"/>
        </w:numPr>
        <w:spacing w:after="120"/>
        <w:ind w:left="357" w:hanging="357"/>
      </w:pPr>
      <w:r>
        <w:t>services provided at, or in relation to the operation of, any residence within the meaning of </w:t>
      </w:r>
      <w:bookmarkStart w:id="2" w:name="DLM147094"/>
      <w:r>
        <w:fldChar w:fldCharType="begin"/>
      </w:r>
      <w:r>
        <w:instrText xml:space="preserve"> HYPERLINK "http://www.legislation.govt.nz/act/public/2014/0040/latest/link.aspx?search=sw_096be8ed8160896f_schedule+1_25_se&amp;p=2&amp;id=DLM147094" \l "DLM147094" </w:instrText>
      </w:r>
      <w:r>
        <w:fldChar w:fldCharType="separate"/>
      </w:r>
      <w:r>
        <w:rPr>
          <w:rStyle w:val="Hyperlink"/>
          <w:color w:val="auto"/>
        </w:rPr>
        <w:t>section 2(1)</w:t>
      </w:r>
      <w:r>
        <w:fldChar w:fldCharType="end"/>
      </w:r>
      <w:bookmarkEnd w:id="2"/>
      <w:r>
        <w:t> or </w:t>
      </w:r>
      <w:bookmarkStart w:id="3" w:name="DLM154320"/>
      <w:r>
        <w:fldChar w:fldCharType="begin"/>
      </w:r>
      <w:r>
        <w:instrText xml:space="preserve"> HYPERLINK "http://www.legislation.govt.nz/act/public/2014/0040/latest/link.aspx?search=sw_096be8ed8160896f_schedule+1_25_se&amp;p=2&amp;id=DLM154320" \l "DLM154320" </w:instrText>
      </w:r>
      <w:r>
        <w:fldChar w:fldCharType="separate"/>
      </w:r>
      <w:r>
        <w:rPr>
          <w:rStyle w:val="Hyperlink"/>
          <w:color w:val="auto"/>
        </w:rPr>
        <w:t>364</w:t>
      </w:r>
      <w:r>
        <w:fldChar w:fldCharType="end"/>
      </w:r>
      <w:bookmarkEnd w:id="3"/>
      <w:r>
        <w:t> of theOranga Tamariki Act 1989 (excluding, for the avoidance of doubt, services provided by an individual with whom a child is placed under </w:t>
      </w:r>
      <w:bookmarkStart w:id="4" w:name="DLM154313"/>
      <w:r>
        <w:fldChar w:fldCharType="begin"/>
      </w:r>
      <w:r>
        <w:instrText xml:space="preserve"> HYPERLINK "http://www.legislation.govt.nz/act/public/2014/0040/latest/link.aspx?search=sw_096be8ed8160896f_schedule+1_25_se&amp;p=2&amp;id=DLM154313" \l "DLM154313" </w:instrText>
      </w:r>
      <w:r>
        <w:fldChar w:fldCharType="separate"/>
      </w:r>
      <w:r>
        <w:rPr>
          <w:rStyle w:val="Hyperlink"/>
          <w:color w:val="auto"/>
        </w:rPr>
        <w:t>section 362</w:t>
      </w:r>
      <w:r>
        <w:fldChar w:fldCharType="end"/>
      </w:r>
      <w:bookmarkEnd w:id="4"/>
      <w:r>
        <w:t> of that Act):</w:t>
      </w:r>
    </w:p>
    <w:p w:rsidR="001A186D" w:rsidRDefault="001A186D" w:rsidP="001A186D">
      <w:pPr>
        <w:pStyle w:val="ListParagraph"/>
        <w:numPr>
          <w:ilvl w:val="0"/>
          <w:numId w:val="15"/>
        </w:numPr>
        <w:spacing w:after="120"/>
        <w:ind w:left="357" w:hanging="357"/>
      </w:pPr>
      <w:r>
        <w:t>services provided by any person, organisation, or body approved under </w:t>
      </w:r>
      <w:bookmarkStart w:id="5" w:name="DLM154552"/>
      <w:r>
        <w:fldChar w:fldCharType="begin"/>
      </w:r>
      <w:r>
        <w:instrText xml:space="preserve"> HYPERLINK "http://www.legislation.govt.nz/act/public/2014/0040/latest/link.aspx?search=sw_096be8ed8160896f_schedule+1_25_se&amp;p=2&amp;id=DLM154552" \l "DLM154552" </w:instrText>
      </w:r>
      <w:r>
        <w:fldChar w:fldCharType="separate"/>
      </w:r>
      <w:r>
        <w:rPr>
          <w:rStyle w:val="Hyperlink"/>
          <w:color w:val="auto"/>
        </w:rPr>
        <w:t>section 396</w:t>
      </w:r>
      <w:r>
        <w:fldChar w:fldCharType="end"/>
      </w:r>
      <w:bookmarkEnd w:id="5"/>
      <w:r>
        <w:t> or </w:t>
      </w:r>
      <w:bookmarkStart w:id="6" w:name="DLM154574"/>
      <w:r>
        <w:fldChar w:fldCharType="begin"/>
      </w:r>
      <w:r>
        <w:instrText xml:space="preserve"> HYPERLINK "http://www.legislation.govt.nz/act/public/2014/0040/latest/link.aspx?search=sw_096be8ed8160896f_schedule+1_25_se&amp;p=2&amp;id=DLM154574" \l "DLM154574" </w:instrText>
      </w:r>
      <w:r>
        <w:fldChar w:fldCharType="separate"/>
      </w:r>
      <w:r>
        <w:rPr>
          <w:rStyle w:val="Hyperlink"/>
          <w:color w:val="auto"/>
        </w:rPr>
        <w:t>403</w:t>
      </w:r>
      <w:r>
        <w:fldChar w:fldCharType="end"/>
      </w:r>
      <w:bookmarkEnd w:id="6"/>
      <w:r>
        <w:t> of the Oranga Tamariki Act 1989:</w:t>
      </w:r>
    </w:p>
    <w:p w:rsidR="001A186D" w:rsidRDefault="001A186D" w:rsidP="001A186D">
      <w:pPr>
        <w:pStyle w:val="ListParagraph"/>
        <w:numPr>
          <w:ilvl w:val="0"/>
          <w:numId w:val="15"/>
        </w:numPr>
        <w:spacing w:after="120"/>
        <w:ind w:left="363"/>
      </w:pPr>
      <w:r>
        <w:t>services provided (including the performance or exercise of functions and powers) under any order, direction, or recommendation of a court made under the </w:t>
      </w:r>
      <w:hyperlink r:id="rId17" w:anchor="DLM147087" w:history="1">
        <w:r>
          <w:rPr>
            <w:rStyle w:val="Hyperlink"/>
            <w:color w:val="auto"/>
          </w:rPr>
          <w:t>Oranga Tamariki Act 1989</w:t>
        </w:r>
      </w:hyperlink>
      <w:r>
        <w:t>, the </w:t>
      </w:r>
      <w:bookmarkStart w:id="7" w:name="DLM317232"/>
      <w:r>
        <w:fldChar w:fldCharType="begin"/>
      </w:r>
      <w:r>
        <w:instrText xml:space="preserve"> HYPERLINK "http://www.legislation.govt.nz/act/public/2014/0040/latest/link.aspx?search=sw_096be8ed8160896f_schedule+1_25_se&amp;p=2&amp;id=DLM317232" \l "DLM317232" </w:instrText>
      </w:r>
      <w:r>
        <w:fldChar w:fldCharType="separate"/>
      </w:r>
      <w:r>
        <w:rPr>
          <w:rStyle w:val="Hyperlink"/>
          <w:color w:val="auto"/>
        </w:rPr>
        <w:t>Care of Children Act 2004</w:t>
      </w:r>
      <w:r>
        <w:fldChar w:fldCharType="end"/>
      </w:r>
      <w:bookmarkEnd w:id="7"/>
      <w:r>
        <w:t>, or the </w:t>
      </w:r>
      <w:bookmarkStart w:id="8" w:name="DLM292660"/>
      <w:r>
        <w:fldChar w:fldCharType="begin"/>
      </w:r>
      <w:r>
        <w:instrText xml:space="preserve"> HYPERLINK "http://www.legislation.govt.nz/act/public/2014/0040/latest/link.aspx?search=sw_096be8ed8160896f_schedule+1_25_se&amp;p=2&amp;id=DLM292660" \l "DLM292660" </w:instrText>
      </w:r>
      <w:r>
        <w:fldChar w:fldCharType="separate"/>
      </w:r>
      <w:r>
        <w:rPr>
          <w:rStyle w:val="Hyperlink"/>
          <w:color w:val="auto"/>
        </w:rPr>
        <w:t>Adoption Act 1955</w:t>
      </w:r>
      <w:r>
        <w:fldChar w:fldCharType="end"/>
      </w:r>
      <w:bookmarkEnd w:id="8"/>
      <w:r>
        <w:t> by—</w:t>
      </w:r>
    </w:p>
    <w:p w:rsidR="001A186D" w:rsidRDefault="001A186D" w:rsidP="001A186D">
      <w:pPr>
        <w:pStyle w:val="ListParagraph"/>
        <w:spacing w:after="120"/>
        <w:ind w:left="363"/>
      </w:pPr>
      <w:r>
        <w:t>(i) the department responsible for the administration of the </w:t>
      </w:r>
      <w:hyperlink r:id="rId18" w:anchor="DLM147087" w:history="1">
        <w:r>
          <w:rPr>
            <w:rStyle w:val="Hyperlink"/>
            <w:color w:val="auto"/>
          </w:rPr>
          <w:t>Oranga Tamariki Act 1989</w:t>
        </w:r>
      </w:hyperlink>
      <w:r>
        <w:t>; or</w:t>
      </w:r>
    </w:p>
    <w:p w:rsidR="001A186D" w:rsidRDefault="001A186D" w:rsidP="001A186D">
      <w:pPr>
        <w:pStyle w:val="ListParagraph"/>
        <w:spacing w:after="120"/>
        <w:ind w:left="363"/>
      </w:pPr>
      <w:r>
        <w:t>(ii) any other person, organisation, or body:</w:t>
      </w:r>
    </w:p>
    <w:p w:rsidR="001A186D" w:rsidRDefault="001A186D" w:rsidP="001A186D">
      <w:pPr>
        <w:pStyle w:val="ListParagraph"/>
        <w:numPr>
          <w:ilvl w:val="0"/>
          <w:numId w:val="15"/>
        </w:numPr>
        <w:spacing w:after="120"/>
        <w:ind w:left="357" w:hanging="357"/>
      </w:pPr>
      <w:r>
        <w:t>services provided by any person, body, or organisation pursuant to any decision, recommendation, or plan made by a family group conference under the </w:t>
      </w:r>
      <w:hyperlink r:id="rId19" w:anchor="DLM147087" w:history="1">
        <w:r>
          <w:rPr>
            <w:rStyle w:val="Hyperlink"/>
            <w:color w:val="auto"/>
          </w:rPr>
          <w:t>Oranga Tamariki Act 1989</w:t>
        </w:r>
      </w:hyperlink>
      <w:r>
        <w:t>:</w:t>
      </w:r>
    </w:p>
    <w:p w:rsidR="001A186D" w:rsidRDefault="001A186D" w:rsidP="001A186D">
      <w:pPr>
        <w:pStyle w:val="ListParagraph"/>
        <w:numPr>
          <w:ilvl w:val="0"/>
          <w:numId w:val="15"/>
        </w:numPr>
        <w:spacing w:after="120"/>
        <w:ind w:left="357" w:hanging="357"/>
      </w:pPr>
      <w:r>
        <w:t>services provided at prisons, secured facilities, and children’s health camps:</w:t>
      </w:r>
    </w:p>
    <w:p w:rsidR="001A186D" w:rsidRDefault="001A186D" w:rsidP="001A186D">
      <w:pPr>
        <w:pStyle w:val="ListParagraph"/>
        <w:numPr>
          <w:ilvl w:val="0"/>
          <w:numId w:val="15"/>
        </w:numPr>
        <w:spacing w:after="120"/>
        <w:ind w:left="357" w:hanging="357"/>
      </w:pPr>
      <w:r>
        <w:t>services provided as part of a condition of bail made under the </w:t>
      </w:r>
      <w:bookmarkStart w:id="9" w:name="DLM68379"/>
      <w:r>
        <w:fldChar w:fldCharType="begin"/>
      </w:r>
      <w:r>
        <w:instrText xml:space="preserve"> HYPERLINK "http://www.legislation.govt.nz/act/public/2014/0040/latest/link.aspx?search=sw_096be8ed8160896f_schedule+1_25_se&amp;p=2&amp;id=DLM68379" \l "DLM68379" </w:instrText>
      </w:r>
      <w:r>
        <w:fldChar w:fldCharType="separate"/>
      </w:r>
      <w:r>
        <w:rPr>
          <w:rStyle w:val="Hyperlink"/>
          <w:color w:val="auto"/>
        </w:rPr>
        <w:t>Bail Act 2000</w:t>
      </w:r>
      <w:r>
        <w:fldChar w:fldCharType="end"/>
      </w:r>
      <w:bookmarkEnd w:id="9"/>
      <w:r>
        <w:t>:</w:t>
      </w:r>
    </w:p>
    <w:p w:rsidR="001A186D" w:rsidRDefault="001A186D" w:rsidP="001A186D">
      <w:pPr>
        <w:pStyle w:val="ListParagraph"/>
        <w:numPr>
          <w:ilvl w:val="0"/>
          <w:numId w:val="15"/>
        </w:numPr>
        <w:spacing w:after="120"/>
        <w:ind w:left="357" w:hanging="357"/>
      </w:pPr>
      <w:r>
        <w:t>services and facilities of the kind referred to in </w:t>
      </w:r>
      <w:bookmarkStart w:id="10" w:name="DLM149438"/>
      <w:r>
        <w:fldChar w:fldCharType="begin"/>
      </w:r>
      <w:r>
        <w:instrText xml:space="preserve"> HYPERLINK "http://www.legislation.govt.nz/act/public/2014/0040/latest/link.aspx?search=sw_096be8ed8160896f_schedule+1_25_se&amp;p=2&amp;id=DLM149438" \l "DLM149438" </w:instrText>
      </w:r>
      <w:r>
        <w:fldChar w:fldCharType="separate"/>
      </w:r>
      <w:r>
        <w:rPr>
          <w:rStyle w:val="Hyperlink"/>
          <w:color w:val="auto"/>
        </w:rPr>
        <w:t>sections 4(1)﻿(a)</w:t>
      </w:r>
      <w:r>
        <w:fldChar w:fldCharType="end"/>
      </w:r>
      <w:bookmarkEnd w:id="10"/>
      <w:r>
        <w:t> and </w:t>
      </w:r>
      <w:bookmarkStart w:id="11" w:name="DLM149444"/>
      <w:r>
        <w:fldChar w:fldCharType="begin"/>
      </w:r>
      <w:r>
        <w:instrText xml:space="preserve"> HYPERLINK "http://www.legislation.govt.nz/act/public/2014/0040/latest/link.aspx?search=sw_096be8ed8160896f_schedule+1_25_se&amp;p=2&amp;id=DLM149444" \l "DLM149444" </w:instrText>
      </w:r>
      <w:r>
        <w:fldChar w:fldCharType="separate"/>
      </w:r>
      <w:r>
        <w:rPr>
          <w:rStyle w:val="Hyperlink"/>
          <w:color w:val="auto"/>
        </w:rPr>
        <w:t>7(2)﻿(b)﻿(i)</w:t>
      </w:r>
      <w:r>
        <w:fldChar w:fldCharType="end"/>
      </w:r>
      <w:bookmarkEnd w:id="11"/>
      <w:r>
        <w:t> of the Oranga Tamariki Act 1989:</w:t>
      </w:r>
    </w:p>
    <w:p w:rsidR="001A186D" w:rsidRDefault="001A186D" w:rsidP="001A186D">
      <w:pPr>
        <w:pStyle w:val="ListParagraph"/>
        <w:numPr>
          <w:ilvl w:val="0"/>
          <w:numId w:val="15"/>
        </w:numPr>
        <w:spacing w:after="120"/>
        <w:ind w:left="357" w:hanging="357"/>
      </w:pPr>
      <w:r>
        <w:t>social or support services, including (but not limited to) victim support services, drug and alcohol rehabilitation services, and childcare services:</w:t>
      </w:r>
    </w:p>
    <w:p w:rsidR="001A186D" w:rsidRDefault="001A186D" w:rsidP="001A186D">
      <w:pPr>
        <w:pStyle w:val="ListParagraph"/>
        <w:numPr>
          <w:ilvl w:val="0"/>
          <w:numId w:val="15"/>
        </w:numPr>
        <w:spacing w:after="120"/>
        <w:ind w:left="357" w:hanging="357"/>
      </w:pPr>
      <w:r>
        <w:t>mentoring and counselling services:</w:t>
      </w:r>
    </w:p>
    <w:p w:rsidR="001A186D" w:rsidRDefault="001A186D" w:rsidP="001A186D">
      <w:pPr>
        <w:pStyle w:val="ListParagraph"/>
        <w:numPr>
          <w:ilvl w:val="0"/>
          <w:numId w:val="15"/>
        </w:numPr>
        <w:spacing w:after="120"/>
        <w:ind w:left="357" w:hanging="357"/>
      </w:pPr>
      <w:r>
        <w:t>youth services and youth work:</w:t>
      </w:r>
    </w:p>
    <w:p w:rsidR="001A186D" w:rsidRDefault="001A186D" w:rsidP="001A186D">
      <w:pPr>
        <w:pStyle w:val="ListParagraph"/>
        <w:numPr>
          <w:ilvl w:val="0"/>
          <w:numId w:val="15"/>
        </w:numPr>
        <w:spacing w:after="120"/>
        <w:ind w:left="357" w:hanging="357"/>
      </w:pPr>
      <w:r>
        <w:t>participating in a telephone communication service that is likely to be used wholly or mainly by children:</w:t>
      </w:r>
    </w:p>
    <w:p w:rsidR="001A186D" w:rsidRDefault="001A186D" w:rsidP="001A186D">
      <w:pPr>
        <w:pStyle w:val="ListParagraph"/>
        <w:numPr>
          <w:ilvl w:val="0"/>
          <w:numId w:val="15"/>
        </w:numPr>
        <w:spacing w:after="120"/>
        <w:ind w:left="357" w:hanging="357"/>
      </w:pPr>
      <w:r>
        <w:t>moderating an electronic interactive communication service that is likely to be used wholly or mainly by children (but a person does not moderate a public electronic interactive communication service unless he or she has access to the content of the matter or contact with users of the service):</w:t>
      </w:r>
    </w:p>
    <w:p w:rsidR="001A186D" w:rsidRDefault="001A186D" w:rsidP="001A186D">
      <w:pPr>
        <w:pStyle w:val="ListParagraph"/>
        <w:numPr>
          <w:ilvl w:val="0"/>
          <w:numId w:val="15"/>
        </w:numPr>
        <w:spacing w:after="120"/>
        <w:ind w:left="357" w:hanging="357"/>
      </w:pPr>
      <w:r>
        <w:t>services provided to escort, track, or transport children for the purposes of the </w:t>
      </w:r>
      <w:hyperlink r:id="rId20" w:anchor="DLM147087" w:history="1">
        <w:r>
          <w:rPr>
            <w:rStyle w:val="Hyperlink"/>
            <w:color w:val="auto"/>
          </w:rPr>
          <w:t>Oranga Tamariki Act 1989</w:t>
        </w:r>
      </w:hyperlink>
      <w:bookmarkEnd w:id="1"/>
      <w:r>
        <w:t>:</w:t>
      </w:r>
    </w:p>
    <w:p w:rsidR="001A186D" w:rsidRDefault="001A186D" w:rsidP="001A186D">
      <w:pPr>
        <w:pStyle w:val="ListParagraph"/>
        <w:numPr>
          <w:ilvl w:val="0"/>
          <w:numId w:val="15"/>
        </w:numPr>
        <w:spacing w:after="120"/>
        <w:ind w:left="357" w:hanging="357"/>
      </w:pPr>
      <w:r>
        <w:t>out-of-school care and recreational services:</w:t>
      </w:r>
    </w:p>
    <w:p w:rsidR="001A186D" w:rsidRDefault="001A186D" w:rsidP="001A186D">
      <w:pPr>
        <w:spacing w:after="120"/>
        <w:rPr>
          <w:b/>
          <w:i/>
        </w:rPr>
      </w:pPr>
      <w:r>
        <w:rPr>
          <w:b/>
          <w:i/>
        </w:rPr>
        <w:t>Health services</w:t>
      </w:r>
    </w:p>
    <w:p w:rsidR="001A186D" w:rsidRDefault="001A186D" w:rsidP="001A186D">
      <w:pPr>
        <w:pStyle w:val="ListParagraph"/>
        <w:numPr>
          <w:ilvl w:val="0"/>
          <w:numId w:val="15"/>
        </w:numPr>
        <w:spacing w:after="120"/>
        <w:ind w:left="357" w:hanging="357"/>
      </w:pPr>
      <w:r>
        <w:t>services provided at a public hospital:</w:t>
      </w:r>
    </w:p>
    <w:p w:rsidR="001A186D" w:rsidRDefault="001A186D" w:rsidP="001A186D">
      <w:pPr>
        <w:pStyle w:val="ListParagraph"/>
        <w:numPr>
          <w:ilvl w:val="0"/>
          <w:numId w:val="15"/>
        </w:numPr>
        <w:spacing w:after="120"/>
        <w:ind w:left="357" w:hanging="357"/>
      </w:pPr>
      <w:r>
        <w:t>services provided at a publicly funded medical practice or facility, including blood and cancer centres, treatment centres, outreach clinics, and mental health services:</w:t>
      </w:r>
    </w:p>
    <w:p w:rsidR="001A186D" w:rsidRDefault="001A186D" w:rsidP="001A186D">
      <w:pPr>
        <w:pStyle w:val="ListParagraph"/>
        <w:numPr>
          <w:ilvl w:val="0"/>
          <w:numId w:val="15"/>
        </w:numPr>
        <w:spacing w:after="120"/>
        <w:ind w:left="357" w:hanging="357"/>
      </w:pPr>
      <w:r>
        <w:t>services provided through medical practices belonging to primary health organisations (PHOs):</w:t>
      </w:r>
    </w:p>
    <w:p w:rsidR="001A186D" w:rsidRDefault="001A186D" w:rsidP="001A186D">
      <w:pPr>
        <w:pStyle w:val="ListParagraph"/>
        <w:numPr>
          <w:ilvl w:val="0"/>
          <w:numId w:val="15"/>
        </w:numPr>
        <w:spacing w:after="120"/>
        <w:ind w:left="357" w:hanging="357"/>
      </w:pPr>
      <w:r>
        <w:t>services provided by health practitioners:</w:t>
      </w:r>
    </w:p>
    <w:p w:rsidR="001A186D" w:rsidRDefault="001A186D" w:rsidP="001A186D">
      <w:pPr>
        <w:pStyle w:val="ListParagraph"/>
        <w:numPr>
          <w:ilvl w:val="0"/>
          <w:numId w:val="15"/>
        </w:numPr>
        <w:spacing w:after="120"/>
        <w:ind w:left="357" w:hanging="357"/>
      </w:pPr>
      <w:r>
        <w:t>Well Child Tamariki Ora (WCTO) services (eg, Plunket):</w:t>
      </w:r>
    </w:p>
    <w:p w:rsidR="001A186D" w:rsidRDefault="001A186D" w:rsidP="001A186D">
      <w:pPr>
        <w:pStyle w:val="ListParagraph"/>
        <w:numPr>
          <w:ilvl w:val="0"/>
          <w:numId w:val="15"/>
        </w:numPr>
        <w:spacing w:after="120"/>
        <w:ind w:left="357" w:hanging="357"/>
      </w:pPr>
      <w:r>
        <w:lastRenderedPageBreak/>
        <w:t>home-based disability support services:</w:t>
      </w:r>
    </w:p>
    <w:p w:rsidR="001A186D" w:rsidRDefault="001A186D" w:rsidP="001A186D">
      <w:pPr>
        <w:pStyle w:val="ListParagraph"/>
        <w:numPr>
          <w:ilvl w:val="0"/>
          <w:numId w:val="15"/>
        </w:numPr>
        <w:spacing w:after="120"/>
        <w:ind w:left="357" w:hanging="357"/>
      </w:pPr>
      <w:r>
        <w:t>residential disability support services:</w:t>
      </w:r>
    </w:p>
    <w:p w:rsidR="001A186D" w:rsidRDefault="001A186D" w:rsidP="001A186D">
      <w:pPr>
        <w:pStyle w:val="ListParagraph"/>
        <w:numPr>
          <w:ilvl w:val="0"/>
          <w:numId w:val="15"/>
        </w:numPr>
        <w:spacing w:after="120"/>
        <w:ind w:left="357" w:hanging="357"/>
      </w:pPr>
      <w:r>
        <w:t>ambulance services:</w:t>
      </w:r>
    </w:p>
    <w:p w:rsidR="001A186D" w:rsidRDefault="001A186D" w:rsidP="001A186D">
      <w:pPr>
        <w:pStyle w:val="ListParagraph"/>
        <w:numPr>
          <w:ilvl w:val="0"/>
          <w:numId w:val="15"/>
        </w:numPr>
        <w:spacing w:after="120"/>
        <w:ind w:left="357" w:hanging="357"/>
      </w:pPr>
      <w:r>
        <w:t>maternity services, including lead maternity carers and midwives:</w:t>
      </w:r>
    </w:p>
    <w:p w:rsidR="001A186D" w:rsidRDefault="001A186D" w:rsidP="001A186D">
      <w:pPr>
        <w:spacing w:after="120"/>
        <w:rPr>
          <w:b/>
          <w:i/>
        </w:rPr>
      </w:pPr>
      <w:r>
        <w:rPr>
          <w:b/>
          <w:i/>
        </w:rPr>
        <w:t>Education services</w:t>
      </w:r>
    </w:p>
    <w:p w:rsidR="001A186D" w:rsidRDefault="001A186D" w:rsidP="001A186D">
      <w:pPr>
        <w:pStyle w:val="ListParagraph"/>
        <w:numPr>
          <w:ilvl w:val="0"/>
          <w:numId w:val="15"/>
        </w:numPr>
        <w:spacing w:after="120"/>
        <w:ind w:left="357" w:hanging="357"/>
      </w:pPr>
      <w:r>
        <w:t>education services provided at a registered school (as defined in </w:t>
      </w:r>
      <w:bookmarkStart w:id="12" w:name="DLM175965"/>
      <w:r>
        <w:fldChar w:fldCharType="begin"/>
      </w:r>
      <w:r>
        <w:instrText xml:space="preserve"> HYPERLINK "http://www.legislation.govt.nz/act/public/2014/0040/latest/link.aspx?search=sw_096be8ed8160896f_schedule+1_25_se&amp;p=2&amp;id=DLM175965" \l "DLM175965" </w:instrText>
      </w:r>
      <w:r>
        <w:fldChar w:fldCharType="separate"/>
      </w:r>
      <w:r>
        <w:rPr>
          <w:rStyle w:val="Hyperlink"/>
          <w:color w:val="auto"/>
        </w:rPr>
        <w:t>section 2(1)</w:t>
      </w:r>
      <w:r>
        <w:fldChar w:fldCharType="end"/>
      </w:r>
      <w:bookmarkEnd w:id="12"/>
      <w:r>
        <w:t> of the Education Act 1989):</w:t>
      </w:r>
    </w:p>
    <w:p w:rsidR="001A186D" w:rsidRDefault="001A186D" w:rsidP="001A186D">
      <w:pPr>
        <w:pStyle w:val="ListParagraph"/>
        <w:numPr>
          <w:ilvl w:val="0"/>
          <w:numId w:val="15"/>
        </w:numPr>
        <w:spacing w:after="120"/>
        <w:ind w:left="357" w:hanging="357"/>
      </w:pPr>
      <w:r>
        <w:t>early childhood services (as defined in </w:t>
      </w:r>
      <w:bookmarkStart w:id="13" w:name="DLM187091"/>
      <w:r>
        <w:fldChar w:fldCharType="begin"/>
      </w:r>
      <w:r>
        <w:instrText xml:space="preserve"> HYPERLINK "http://www.legislation.govt.nz/act/public/2014/0040/latest/link.aspx?search=sw_096be8ed8160896f_schedule+1_25_se&amp;p=2&amp;id=DLM187091" \l "DLM187091" </w:instrText>
      </w:r>
      <w:r>
        <w:fldChar w:fldCharType="separate"/>
      </w:r>
      <w:r>
        <w:rPr>
          <w:rStyle w:val="Hyperlink"/>
          <w:color w:val="auto"/>
        </w:rPr>
        <w:t>section 309</w:t>
      </w:r>
      <w:r>
        <w:fldChar w:fldCharType="end"/>
      </w:r>
      <w:r>
        <w:t> of the Education Act 1989):</w:t>
      </w:r>
    </w:p>
    <w:p w:rsidR="001A186D" w:rsidRDefault="001A186D" w:rsidP="001A186D">
      <w:pPr>
        <w:pStyle w:val="ListParagraph"/>
        <w:numPr>
          <w:ilvl w:val="0"/>
          <w:numId w:val="15"/>
        </w:numPr>
        <w:spacing w:after="120"/>
        <w:ind w:left="357" w:hanging="357"/>
      </w:pPr>
      <w:r>
        <w:t>education services provided by a trades academy, a service academy, or an alternative education provider for or on behalf of a school:</w:t>
      </w:r>
    </w:p>
    <w:p w:rsidR="001A186D" w:rsidRDefault="001A186D" w:rsidP="001A186D">
      <w:pPr>
        <w:pStyle w:val="ListParagraph"/>
        <w:numPr>
          <w:ilvl w:val="0"/>
          <w:numId w:val="15"/>
        </w:numPr>
        <w:spacing w:after="120"/>
        <w:ind w:left="357" w:hanging="357"/>
      </w:pPr>
      <w:r>
        <w:t>education services provided at any off-site location for or on behalf of a registered school or early childhood service, including teen parent units, school camps, and learning centres:</w:t>
      </w:r>
    </w:p>
    <w:p w:rsidR="001A186D" w:rsidRDefault="001A186D" w:rsidP="001A186D">
      <w:pPr>
        <w:pStyle w:val="ListParagraph"/>
        <w:numPr>
          <w:ilvl w:val="0"/>
          <w:numId w:val="15"/>
        </w:numPr>
        <w:spacing w:after="120"/>
        <w:ind w:left="357" w:hanging="357"/>
      </w:pPr>
      <w:r>
        <w:t>services provided to ensure enrolment and attendance at school in accordance with </w:t>
      </w:r>
      <w:bookmarkStart w:id="14" w:name="DLM178225"/>
      <w:r>
        <w:fldChar w:fldCharType="begin"/>
      </w:r>
      <w:r>
        <w:instrText xml:space="preserve"> HYPERLINK "http://www.legislation.govt.nz/act/public/2014/0040/latest/link.aspx?search=sw_096be8ed8160896f_schedule+1_25_se&amp;p=2&amp;id=DLM178225" \l "DLM178225" </w:instrText>
      </w:r>
      <w:r>
        <w:fldChar w:fldCharType="separate"/>
      </w:r>
      <w:r>
        <w:rPr>
          <w:rStyle w:val="Hyperlink"/>
          <w:color w:val="auto"/>
        </w:rPr>
        <w:t>sections 20</w:t>
      </w:r>
      <w:r>
        <w:fldChar w:fldCharType="end"/>
      </w:r>
      <w:bookmarkEnd w:id="14"/>
      <w:r>
        <w:t> and </w:t>
      </w:r>
      <w:bookmarkStart w:id="15" w:name="DLM178240"/>
      <w:r>
        <w:fldChar w:fldCharType="begin"/>
      </w:r>
      <w:r>
        <w:instrText xml:space="preserve"> HYPERLINK "http://www.legislation.govt.nz/act/public/2014/0040/latest/link.aspx?search=sw_096be8ed8160896f_schedule+1_25_se&amp;p=2&amp;id=DLM178240" \l "DLM178240" </w:instrText>
      </w:r>
      <w:r>
        <w:fldChar w:fldCharType="separate"/>
      </w:r>
      <w:r>
        <w:rPr>
          <w:rStyle w:val="Hyperlink"/>
          <w:color w:val="auto"/>
        </w:rPr>
        <w:t>25</w:t>
      </w:r>
      <w:r>
        <w:fldChar w:fldCharType="end"/>
      </w:r>
      <w:bookmarkEnd w:id="15"/>
      <w:r>
        <w:t> of the Education Act 1989:</w:t>
      </w:r>
    </w:p>
    <w:p w:rsidR="001A186D" w:rsidRDefault="001A186D" w:rsidP="001A186D">
      <w:pPr>
        <w:pStyle w:val="ListParagraph"/>
        <w:numPr>
          <w:ilvl w:val="0"/>
          <w:numId w:val="15"/>
        </w:numPr>
        <w:spacing w:after="120"/>
        <w:ind w:left="357" w:hanging="357"/>
      </w:pPr>
      <w:r>
        <w:t>services provided at a playgroup (as defined in </w:t>
      </w:r>
      <w:hyperlink r:id="rId21" w:anchor="DLM187091" w:history="1">
        <w:r>
          <w:rPr>
            <w:rStyle w:val="Hyperlink"/>
            <w:color w:val="auto"/>
          </w:rPr>
          <w:t>section 309</w:t>
        </w:r>
      </w:hyperlink>
      <w:bookmarkEnd w:id="13"/>
      <w:r>
        <w:t> of the Education Act 1989):</w:t>
      </w:r>
    </w:p>
    <w:p w:rsidR="001A186D" w:rsidRDefault="001A186D" w:rsidP="001A186D">
      <w:pPr>
        <w:pStyle w:val="ListParagraph"/>
        <w:numPr>
          <w:ilvl w:val="0"/>
          <w:numId w:val="15"/>
        </w:numPr>
        <w:spacing w:after="120"/>
        <w:ind w:left="357" w:hanging="357"/>
      </w:pPr>
      <w:r>
        <w:t>services provided at any location on behalf of a limited child care centre (as defined in </w:t>
      </w:r>
      <w:bookmarkStart w:id="16" w:name="DLM278835"/>
      <w:r>
        <w:fldChar w:fldCharType="begin"/>
      </w:r>
      <w:r>
        <w:instrText xml:space="preserve"> HYPERLINK "http://www.legislation.govt.nz/act/public/2014/0040/latest/link.aspx?search=sw_096be8ed8160896f_schedule+1_25_se&amp;p=2&amp;id=DLM278835" \l "DLM278835" </w:instrText>
      </w:r>
      <w:r>
        <w:fldChar w:fldCharType="separate"/>
      </w:r>
      <w:r>
        <w:rPr>
          <w:rStyle w:val="Hyperlink"/>
          <w:color w:val="auto"/>
        </w:rPr>
        <w:t>section 2(1)</w:t>
      </w:r>
      <w:r>
        <w:fldChar w:fldCharType="end"/>
      </w:r>
      <w:bookmarkEnd w:id="16"/>
      <w:r>
        <w:t> of the Health and Safety in Employment Act 1992):</w:t>
      </w:r>
    </w:p>
    <w:p w:rsidR="001A186D" w:rsidRDefault="001A186D" w:rsidP="001A186D">
      <w:pPr>
        <w:spacing w:after="120"/>
        <w:rPr>
          <w:b/>
          <w:i/>
        </w:rPr>
      </w:pPr>
      <w:r>
        <w:rPr>
          <w:b/>
          <w:i/>
        </w:rPr>
        <w:t>Transport services</w:t>
      </w:r>
    </w:p>
    <w:p w:rsidR="001A186D" w:rsidRDefault="001A186D" w:rsidP="001A186D">
      <w:pPr>
        <w:pStyle w:val="ListParagraph"/>
        <w:numPr>
          <w:ilvl w:val="0"/>
          <w:numId w:val="15"/>
        </w:numPr>
        <w:spacing w:after="120"/>
        <w:ind w:left="357" w:hanging="357"/>
      </w:pPr>
      <w:r>
        <w:t>work driving a vehicle that is being used only for the purpose of conveying children and any persons supervising or caring for the children (for instance, school bus services):</w:t>
      </w:r>
    </w:p>
    <w:p w:rsidR="001A186D" w:rsidRDefault="001A186D" w:rsidP="001A186D">
      <w:pPr>
        <w:spacing w:after="120"/>
        <w:rPr>
          <w:b/>
          <w:i/>
        </w:rPr>
      </w:pPr>
      <w:r>
        <w:rPr>
          <w:b/>
          <w:i/>
        </w:rPr>
        <w:t>Policing services</w:t>
      </w:r>
    </w:p>
    <w:p w:rsidR="001A186D" w:rsidRDefault="001A186D" w:rsidP="001A186D">
      <w:pPr>
        <w:pStyle w:val="ListParagraph"/>
        <w:numPr>
          <w:ilvl w:val="0"/>
          <w:numId w:val="15"/>
        </w:numPr>
        <w:spacing w:after="120"/>
        <w:ind w:left="357" w:hanging="357"/>
      </w:pPr>
      <w:r>
        <w:t>specialist child and family policing services provided by Police employees (as defined in </w:t>
      </w:r>
      <w:bookmarkStart w:id="17" w:name="DLM1102132"/>
      <w:r>
        <w:fldChar w:fldCharType="begin"/>
      </w:r>
      <w:r>
        <w:instrText xml:space="preserve"> HYPERLINK "http://www.legislation.govt.nz/act/public/2014/0040/latest/link.aspx?search=sw_096be8ed8160896f_schedule+1_25_se&amp;p=2&amp;id=DLM1102132" \l "DLM1102132" </w:instrText>
      </w:r>
      <w:r>
        <w:fldChar w:fldCharType="separate"/>
      </w:r>
      <w:r>
        <w:rPr>
          <w:rStyle w:val="Hyperlink"/>
          <w:color w:val="auto"/>
        </w:rPr>
        <w:t>section 4</w:t>
      </w:r>
      <w:r>
        <w:fldChar w:fldCharType="end"/>
      </w:r>
      <w:bookmarkEnd w:id="17"/>
      <w:r>
        <w:t> of the Policing Act 2008):</w:t>
      </w:r>
    </w:p>
    <w:p w:rsidR="001A186D" w:rsidRDefault="001A186D" w:rsidP="001A186D">
      <w:pPr>
        <w:spacing w:after="120"/>
        <w:rPr>
          <w:b/>
          <w:i/>
        </w:rPr>
      </w:pPr>
      <w:r>
        <w:rPr>
          <w:b/>
          <w:i/>
        </w:rPr>
        <w:t>Local authority services</w:t>
      </w:r>
    </w:p>
    <w:p w:rsidR="001A186D" w:rsidRDefault="001A186D" w:rsidP="001A186D">
      <w:pPr>
        <w:pStyle w:val="ListParagraph"/>
        <w:numPr>
          <w:ilvl w:val="0"/>
          <w:numId w:val="15"/>
        </w:numPr>
        <w:spacing w:after="120"/>
        <w:ind w:left="357" w:hanging="357"/>
      </w:pPr>
      <w:r>
        <w:t>social and support services, including (but not limited to) mentoring and counselling services and community outreach, advocacy, and engagement services:</w:t>
      </w:r>
    </w:p>
    <w:p w:rsidR="001A186D" w:rsidRDefault="001A186D" w:rsidP="001A186D">
      <w:pPr>
        <w:pStyle w:val="ListParagraph"/>
        <w:numPr>
          <w:ilvl w:val="0"/>
          <w:numId w:val="15"/>
        </w:numPr>
        <w:spacing w:after="120"/>
        <w:ind w:left="357" w:hanging="357"/>
      </w:pPr>
      <w:r>
        <w:t>education services, including (but not limited to) learn-to-swim programmes and digital literacy programmes:</w:t>
      </w:r>
    </w:p>
    <w:p w:rsidR="001A186D" w:rsidRDefault="001A186D" w:rsidP="001A186D">
      <w:pPr>
        <w:pStyle w:val="ListParagraph"/>
        <w:numPr>
          <w:ilvl w:val="0"/>
          <w:numId w:val="15"/>
        </w:numPr>
        <w:spacing w:after="120"/>
        <w:ind w:left="357" w:hanging="357"/>
      </w:pPr>
      <w:r>
        <w:t>services provided at community facilities, including (but not limited to) sports and recreation centres, libraries, swimming pools, galleries, and community centres:</w:t>
      </w:r>
    </w:p>
    <w:p w:rsidR="001A186D" w:rsidRPr="005E159F" w:rsidRDefault="001A186D" w:rsidP="005E159F">
      <w:pPr>
        <w:pStyle w:val="ListParagraph"/>
        <w:numPr>
          <w:ilvl w:val="0"/>
          <w:numId w:val="15"/>
        </w:numPr>
        <w:spacing w:after="120"/>
        <w:ind w:left="357" w:hanging="357"/>
      </w:pPr>
      <w:r>
        <w:t>services provided in public environments, including (but not limited to) surf and beach patrols, skate park guardians, and road safety co-ordinators.</w:t>
      </w:r>
      <w:r w:rsidRPr="005E159F">
        <w:rPr>
          <w:rFonts w:ascii="Times New Roman" w:hAnsi="Times New Roman" w:cs="Times New Roman"/>
          <w:sz w:val="24"/>
          <w:szCs w:val="24"/>
        </w:rPr>
        <w:t xml:space="preserve"> </w:t>
      </w:r>
    </w:p>
    <w:p w:rsidR="001A186D" w:rsidRPr="001A186D" w:rsidRDefault="001A186D" w:rsidP="001A186D">
      <w:pPr>
        <w:rPr>
          <w:b/>
          <w:sz w:val="24"/>
          <w:szCs w:val="24"/>
        </w:rPr>
      </w:pPr>
    </w:p>
    <w:sectPr w:rsidR="001A186D" w:rsidRPr="001A186D" w:rsidSect="001A186D">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6CB" w:rsidRDefault="002416CB" w:rsidP="00B907DC">
      <w:pPr>
        <w:spacing w:after="0" w:line="240" w:lineRule="auto"/>
      </w:pPr>
      <w:r>
        <w:separator/>
      </w:r>
    </w:p>
  </w:endnote>
  <w:endnote w:type="continuationSeparator" w:id="0">
    <w:p w:rsidR="002416CB" w:rsidRDefault="002416CB" w:rsidP="00B90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Mäori">
    <w:altName w:val="Arial"/>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B50" w:rsidRDefault="00290B50" w:rsidP="00427B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0B50" w:rsidRDefault="00290B50" w:rsidP="00427B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B50" w:rsidRPr="006B52CC" w:rsidRDefault="00290B50" w:rsidP="00427B77">
    <w:pPr>
      <w:pStyle w:val="Footer"/>
      <w:framePr w:wrap="around" w:vAnchor="text" w:hAnchor="margin" w:xAlign="right" w:y="1"/>
      <w:rPr>
        <w:rStyle w:val="PageNumber"/>
        <w:sz w:val="20"/>
        <w:szCs w:val="20"/>
      </w:rPr>
    </w:pPr>
    <w:r w:rsidRPr="006B52CC">
      <w:rPr>
        <w:rStyle w:val="PageNumber"/>
        <w:sz w:val="20"/>
        <w:szCs w:val="20"/>
      </w:rPr>
      <w:fldChar w:fldCharType="begin"/>
    </w:r>
    <w:r w:rsidRPr="006B52CC">
      <w:rPr>
        <w:rStyle w:val="PageNumber"/>
        <w:sz w:val="20"/>
        <w:szCs w:val="20"/>
      </w:rPr>
      <w:instrText xml:space="preserve">PAGE  </w:instrText>
    </w:r>
    <w:r w:rsidRPr="006B52CC">
      <w:rPr>
        <w:rStyle w:val="PageNumber"/>
        <w:sz w:val="20"/>
        <w:szCs w:val="20"/>
      </w:rPr>
      <w:fldChar w:fldCharType="separate"/>
    </w:r>
    <w:r w:rsidR="00C145FA">
      <w:rPr>
        <w:rStyle w:val="PageNumber"/>
        <w:noProof/>
        <w:sz w:val="20"/>
        <w:szCs w:val="20"/>
      </w:rPr>
      <w:t>1</w:t>
    </w:r>
    <w:r w:rsidRPr="006B52CC">
      <w:rPr>
        <w:rStyle w:val="PageNumber"/>
        <w:sz w:val="20"/>
        <w:szCs w:val="20"/>
      </w:rPr>
      <w:fldChar w:fldCharType="end"/>
    </w:r>
  </w:p>
  <w:p w:rsidR="00290B50" w:rsidRPr="00C21446" w:rsidRDefault="00290B50" w:rsidP="00427B77">
    <w:pPr>
      <w:pBdr>
        <w:top w:val="single" w:sz="4" w:space="1" w:color="auto"/>
      </w:pBdr>
      <w:tabs>
        <w:tab w:val="center" w:pos="3960"/>
        <w:tab w:val="right" w:pos="8640"/>
      </w:tabs>
      <w:ind w:right="360"/>
      <w:rPr>
        <w:sz w:val="16"/>
        <w:szCs w:val="20"/>
      </w:rPr>
    </w:pPr>
    <w:r>
      <w:rPr>
        <w:sz w:val="16"/>
        <w:szCs w:val="20"/>
      </w:rPr>
      <w:t>Child Protection</w:t>
    </w:r>
    <w:r w:rsidRPr="00C21446">
      <w:rPr>
        <w:sz w:val="16"/>
        <w:szCs w:val="20"/>
      </w:rPr>
      <w:t xml:space="preserve"> </w:t>
    </w:r>
    <w:r w:rsidRPr="00C21446">
      <w:rPr>
        <w:sz w:val="16"/>
        <w:szCs w:val="20"/>
      </w:rPr>
      <w:tab/>
    </w:r>
    <w:r>
      <w:rPr>
        <w:sz w:val="16"/>
        <w:szCs w:val="20"/>
      </w:rPr>
      <w:t>December 20</w:t>
    </w:r>
    <w:r w:rsidR="00D3200D">
      <w:rPr>
        <w:sz w:val="16"/>
        <w:szCs w:val="20"/>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B50" w:rsidRPr="006B52CC" w:rsidRDefault="00290B50" w:rsidP="00427B77">
    <w:pPr>
      <w:pStyle w:val="Footer"/>
      <w:framePr w:wrap="around" w:vAnchor="text" w:hAnchor="margin" w:xAlign="right" w:y="1"/>
      <w:rPr>
        <w:rStyle w:val="PageNumber"/>
        <w:sz w:val="20"/>
        <w:szCs w:val="20"/>
      </w:rPr>
    </w:pPr>
    <w:r w:rsidRPr="006B52CC">
      <w:rPr>
        <w:rStyle w:val="PageNumber"/>
        <w:sz w:val="20"/>
        <w:szCs w:val="20"/>
      </w:rPr>
      <w:fldChar w:fldCharType="begin"/>
    </w:r>
    <w:r w:rsidRPr="006B52CC">
      <w:rPr>
        <w:rStyle w:val="PageNumber"/>
        <w:sz w:val="20"/>
        <w:szCs w:val="20"/>
      </w:rPr>
      <w:instrText xml:space="preserve">PAGE  </w:instrText>
    </w:r>
    <w:r w:rsidRPr="006B52CC">
      <w:rPr>
        <w:rStyle w:val="PageNumber"/>
        <w:sz w:val="20"/>
        <w:szCs w:val="20"/>
      </w:rPr>
      <w:fldChar w:fldCharType="separate"/>
    </w:r>
    <w:r w:rsidR="00C145FA">
      <w:rPr>
        <w:rStyle w:val="PageNumber"/>
        <w:noProof/>
        <w:sz w:val="20"/>
        <w:szCs w:val="20"/>
      </w:rPr>
      <w:t>8</w:t>
    </w:r>
    <w:r w:rsidRPr="006B52CC">
      <w:rPr>
        <w:rStyle w:val="PageNumber"/>
        <w:sz w:val="20"/>
        <w:szCs w:val="20"/>
      </w:rPr>
      <w:fldChar w:fldCharType="end"/>
    </w:r>
  </w:p>
  <w:p w:rsidR="00290B50" w:rsidRPr="00C21446" w:rsidRDefault="00290B50" w:rsidP="00427B77">
    <w:pPr>
      <w:pBdr>
        <w:top w:val="single" w:sz="4" w:space="1" w:color="auto"/>
      </w:pBdr>
      <w:tabs>
        <w:tab w:val="center" w:pos="3960"/>
        <w:tab w:val="right" w:pos="8640"/>
      </w:tabs>
      <w:ind w:right="360"/>
      <w:rPr>
        <w:sz w:val="16"/>
        <w:szCs w:val="20"/>
      </w:rPr>
    </w:pPr>
    <w:r>
      <w:rPr>
        <w:sz w:val="16"/>
        <w:szCs w:val="20"/>
      </w:rPr>
      <w:t>Child Protection</w:t>
    </w:r>
    <w:r w:rsidRPr="00C21446">
      <w:rPr>
        <w:sz w:val="16"/>
        <w:szCs w:val="20"/>
      </w:rPr>
      <w:t xml:space="preserve"> </w:t>
    </w:r>
    <w:r w:rsidRPr="00C21446">
      <w:rPr>
        <w:sz w:val="16"/>
        <w:szCs w:val="20"/>
      </w:rPr>
      <w:tab/>
    </w:r>
    <w:r>
      <w:rPr>
        <w:sz w:val="16"/>
        <w:szCs w:val="20"/>
      </w:rPr>
      <w:t xml:space="preserve">                                                                                                                 December 20</w:t>
    </w:r>
    <w:r w:rsidR="00D3200D">
      <w:rPr>
        <w:sz w:val="16"/>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6CB" w:rsidRDefault="002416CB" w:rsidP="00B907DC">
      <w:pPr>
        <w:spacing w:after="0" w:line="240" w:lineRule="auto"/>
      </w:pPr>
      <w:r>
        <w:separator/>
      </w:r>
    </w:p>
  </w:footnote>
  <w:footnote w:type="continuationSeparator" w:id="0">
    <w:p w:rsidR="002416CB" w:rsidRDefault="002416CB" w:rsidP="00B907DC">
      <w:pPr>
        <w:spacing w:after="0" w:line="240" w:lineRule="auto"/>
      </w:pPr>
      <w:r>
        <w:continuationSeparator/>
      </w:r>
    </w:p>
  </w:footnote>
  <w:footnote w:id="1">
    <w:p w:rsidR="00290B50" w:rsidRDefault="00290B50" w:rsidP="001A186D">
      <w:pPr>
        <w:rPr>
          <w:lang w:eastAsia="en-US"/>
        </w:rPr>
      </w:pPr>
      <w:r>
        <w:rPr>
          <w:rStyle w:val="FootnoteReference"/>
        </w:rPr>
        <w:footnoteRef/>
      </w:r>
      <w:r>
        <w:t xml:space="preserve"> </w:t>
      </w:r>
      <w:r>
        <w:rPr>
          <w:sz w:val="20"/>
          <w:szCs w:val="20"/>
        </w:rPr>
        <w:t xml:space="preserve">Regulated services are government -funded services provided to children or adults in respect of children and are listed in </w:t>
      </w:r>
      <w:r>
        <w:rPr>
          <w:b/>
          <w:i/>
          <w:sz w:val="20"/>
          <w:szCs w:val="20"/>
        </w:rPr>
        <w:t>Schedule 1</w:t>
      </w:r>
      <w:r>
        <w:rPr>
          <w:sz w:val="20"/>
          <w:szCs w:val="20"/>
        </w:rPr>
        <w:t xml:space="preserve"> of the VCA. In the education sector, a regulated service includes education services provided at, by, or on behalf of Services and schools. This includes any person or organisation contracted by a Service or school, to provide an education service.</w:t>
      </w:r>
    </w:p>
    <w:p w:rsidR="00290B50" w:rsidRDefault="00290B50" w:rsidP="001A186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B50" w:rsidRPr="00C21446" w:rsidRDefault="00290B50" w:rsidP="00427B77">
    <w:pPr>
      <w:tabs>
        <w:tab w:val="right" w:pos="8640"/>
      </w:tabs>
      <w:rPr>
        <w:sz w:val="20"/>
        <w:szCs w:val="16"/>
      </w:rPr>
    </w:pPr>
    <w:r w:rsidRPr="00C21446">
      <w:rPr>
        <w:sz w:val="20"/>
        <w:szCs w:val="16"/>
      </w:rPr>
      <w:t>T</w:t>
    </w:r>
    <w:r>
      <w:rPr>
        <w:sz w:val="20"/>
        <w:szCs w:val="16"/>
      </w:rPr>
      <w:t>e Aho o Te Kura Pounamu</w:t>
    </w:r>
    <w:r w:rsidRPr="00C21446">
      <w:rPr>
        <w:sz w:val="20"/>
        <w:szCs w:val="16"/>
      </w:rPr>
      <w:t xml:space="preserve"> </w:t>
    </w:r>
    <w:r w:rsidRPr="00C21446">
      <w:rPr>
        <w:sz w:val="20"/>
        <w:szCs w:val="16"/>
      </w:rPr>
      <w:tab/>
      <w:t>Governance Policies</w:t>
    </w:r>
  </w:p>
  <w:p w:rsidR="00290B50" w:rsidRPr="00D635BE" w:rsidRDefault="00290B50" w:rsidP="00427B77">
    <w:pPr>
      <w:tabs>
        <w:tab w:val="right" w:pos="8640"/>
      </w:tabs>
      <w:rPr>
        <w:sz w:val="20"/>
        <w:szCs w:val="16"/>
      </w:rPr>
    </w:pPr>
    <w:r>
      <w:rPr>
        <w:sz w:val="20"/>
        <w:szCs w:val="16"/>
      </w:rP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B50" w:rsidRPr="00C21446" w:rsidRDefault="00290B50" w:rsidP="00427B77">
    <w:pPr>
      <w:tabs>
        <w:tab w:val="right" w:pos="8640"/>
      </w:tabs>
      <w:rPr>
        <w:sz w:val="20"/>
        <w:szCs w:val="16"/>
      </w:rPr>
    </w:pPr>
    <w:r w:rsidRPr="00C21446">
      <w:rPr>
        <w:sz w:val="20"/>
        <w:szCs w:val="16"/>
      </w:rPr>
      <w:t>T</w:t>
    </w:r>
    <w:r>
      <w:rPr>
        <w:sz w:val="20"/>
        <w:szCs w:val="16"/>
      </w:rPr>
      <w:t>e Aho o Te Kura Pounamu</w:t>
    </w:r>
    <w:r w:rsidRPr="00C21446">
      <w:rPr>
        <w:sz w:val="20"/>
        <w:szCs w:val="16"/>
      </w:rPr>
      <w:t xml:space="preserve"> </w:t>
    </w:r>
    <w:r w:rsidRPr="00C21446">
      <w:rPr>
        <w:sz w:val="20"/>
        <w:szCs w:val="16"/>
      </w:rPr>
      <w:tab/>
    </w:r>
    <w:r>
      <w:rPr>
        <w:sz w:val="20"/>
        <w:szCs w:val="16"/>
      </w:rPr>
      <w:tab/>
    </w:r>
    <w:r>
      <w:rPr>
        <w:sz w:val="20"/>
        <w:szCs w:val="16"/>
      </w:rPr>
      <w:tab/>
    </w:r>
    <w:r>
      <w:rPr>
        <w:sz w:val="20"/>
        <w:szCs w:val="16"/>
      </w:rPr>
      <w:tab/>
    </w:r>
    <w:r w:rsidRPr="00C21446">
      <w:rPr>
        <w:sz w:val="20"/>
        <w:szCs w:val="16"/>
      </w:rPr>
      <w:t>Governance Policies</w:t>
    </w:r>
  </w:p>
  <w:p w:rsidR="00290B50" w:rsidRPr="00D635BE" w:rsidRDefault="00290B50" w:rsidP="00427B77">
    <w:pPr>
      <w:tabs>
        <w:tab w:val="right" w:pos="8640"/>
      </w:tabs>
      <w:rPr>
        <w:sz w:val="20"/>
        <w:szCs w:val="16"/>
      </w:rPr>
    </w:pPr>
    <w:r>
      <w:rPr>
        <w:sz w:val="20"/>
        <w:szCs w:val="16"/>
      </w:rPr>
      <w:t>__________________________________________________________________________________________________________________________________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B50" w:rsidRPr="00D635BE" w:rsidRDefault="00290B50" w:rsidP="00427B77">
    <w:pPr>
      <w:tabs>
        <w:tab w:val="right" w:pos="8640"/>
      </w:tabs>
      <w:rPr>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597"/>
    <w:multiLevelType w:val="hybridMultilevel"/>
    <w:tmpl w:val="EA00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B6CBE"/>
    <w:multiLevelType w:val="hybridMultilevel"/>
    <w:tmpl w:val="48EC06C8"/>
    <w:lvl w:ilvl="0" w:tplc="A1748F8E">
      <w:start w:val="1"/>
      <w:numFmt w:val="lowerLetter"/>
      <w:lvlText w:val="%1)"/>
      <w:lvlJc w:val="left"/>
      <w:pPr>
        <w:ind w:left="1287" w:hanging="360"/>
      </w:pPr>
      <w:rPr>
        <w:b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 w15:restartNumberingAfterBreak="0">
    <w:nsid w:val="28EB6DD7"/>
    <w:multiLevelType w:val="hybridMultilevel"/>
    <w:tmpl w:val="4FB2CF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E663ADD"/>
    <w:multiLevelType w:val="hybridMultilevel"/>
    <w:tmpl w:val="33E0989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2EE2441E"/>
    <w:multiLevelType w:val="hybridMultilevel"/>
    <w:tmpl w:val="0AF0DE7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43A25863"/>
    <w:multiLevelType w:val="hybridMultilevel"/>
    <w:tmpl w:val="C124245C"/>
    <w:lvl w:ilvl="0" w:tplc="203E6CD0">
      <w:start w:val="1"/>
      <w:numFmt w:val="decimal"/>
      <w:lvlText w:val="%1."/>
      <w:lvlJc w:val="left"/>
      <w:pPr>
        <w:ind w:left="360" w:hanging="360"/>
      </w:pPr>
      <w:rPr>
        <w:sz w:val="22"/>
        <w:szCs w:val="22"/>
      </w:rPr>
    </w:lvl>
    <w:lvl w:ilvl="1" w:tplc="14090019">
      <w:start w:val="1"/>
      <w:numFmt w:val="lowerLetter"/>
      <w:lvlText w:val="%2."/>
      <w:lvlJc w:val="left"/>
      <w:pPr>
        <w:ind w:left="1080" w:hanging="360"/>
      </w:pPr>
      <w:rPr>
        <w:rFonts w:hint="default"/>
      </w:r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45A93823"/>
    <w:multiLevelType w:val="hybridMultilevel"/>
    <w:tmpl w:val="A64E939C"/>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7" w15:restartNumberingAfterBreak="0">
    <w:nsid w:val="4BB63B0B"/>
    <w:multiLevelType w:val="hybridMultilevel"/>
    <w:tmpl w:val="A252B5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5437D8"/>
    <w:multiLevelType w:val="hybridMultilevel"/>
    <w:tmpl w:val="532AE3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F0F35B5"/>
    <w:multiLevelType w:val="hybridMultilevel"/>
    <w:tmpl w:val="39D0563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57C15AB0"/>
    <w:multiLevelType w:val="hybridMultilevel"/>
    <w:tmpl w:val="C36A697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5F0A5316"/>
    <w:multiLevelType w:val="hybridMultilevel"/>
    <w:tmpl w:val="9862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3838C5"/>
    <w:multiLevelType w:val="hybridMultilevel"/>
    <w:tmpl w:val="884AFD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67F2FD1"/>
    <w:multiLevelType w:val="hybridMultilevel"/>
    <w:tmpl w:val="345E7B44"/>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F1B7C25"/>
    <w:multiLevelType w:val="hybridMultilevel"/>
    <w:tmpl w:val="D72E7D4C"/>
    <w:lvl w:ilvl="0" w:tplc="1409000B">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5"/>
  </w:num>
  <w:num w:numId="7">
    <w:abstractNumId w:val="1"/>
  </w:num>
  <w:num w:numId="8">
    <w:abstractNumId w:val="13"/>
  </w:num>
  <w:num w:numId="9">
    <w:abstractNumId w:val="6"/>
  </w:num>
  <w:num w:numId="10">
    <w:abstractNumId w:val="4"/>
  </w:num>
  <w:num w:numId="11">
    <w:abstractNumId w:val="9"/>
  </w:num>
  <w:num w:numId="12">
    <w:abstractNumId w:val="8"/>
  </w:num>
  <w:num w:numId="13">
    <w:abstractNumId w:val="2"/>
  </w:num>
  <w:num w:numId="14">
    <w:abstractNumId w:val="1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6AA"/>
    <w:rsid w:val="000011A2"/>
    <w:rsid w:val="00022C29"/>
    <w:rsid w:val="00050F81"/>
    <w:rsid w:val="00097F55"/>
    <w:rsid w:val="000A56AA"/>
    <w:rsid w:val="000C2336"/>
    <w:rsid w:val="000D0735"/>
    <w:rsid w:val="001017BC"/>
    <w:rsid w:val="00121858"/>
    <w:rsid w:val="00140050"/>
    <w:rsid w:val="00141CF2"/>
    <w:rsid w:val="0015012E"/>
    <w:rsid w:val="00172FAA"/>
    <w:rsid w:val="001A186D"/>
    <w:rsid w:val="001B2D2E"/>
    <w:rsid w:val="001D64F4"/>
    <w:rsid w:val="001F7A14"/>
    <w:rsid w:val="00211A63"/>
    <w:rsid w:val="00212539"/>
    <w:rsid w:val="002149A6"/>
    <w:rsid w:val="002177DA"/>
    <w:rsid w:val="00227BF4"/>
    <w:rsid w:val="002416CB"/>
    <w:rsid w:val="00281D54"/>
    <w:rsid w:val="00290B50"/>
    <w:rsid w:val="002D0655"/>
    <w:rsid w:val="002E6446"/>
    <w:rsid w:val="002F21AA"/>
    <w:rsid w:val="002F7B3F"/>
    <w:rsid w:val="00314056"/>
    <w:rsid w:val="00355C5C"/>
    <w:rsid w:val="00370416"/>
    <w:rsid w:val="0037133D"/>
    <w:rsid w:val="003A5431"/>
    <w:rsid w:val="003B76BA"/>
    <w:rsid w:val="003D1E22"/>
    <w:rsid w:val="003E5404"/>
    <w:rsid w:val="003E77AE"/>
    <w:rsid w:val="00405FD5"/>
    <w:rsid w:val="004106F9"/>
    <w:rsid w:val="00421546"/>
    <w:rsid w:val="00427B77"/>
    <w:rsid w:val="00442AD2"/>
    <w:rsid w:val="00442EF0"/>
    <w:rsid w:val="0044781C"/>
    <w:rsid w:val="00493D4D"/>
    <w:rsid w:val="00497458"/>
    <w:rsid w:val="004B41E6"/>
    <w:rsid w:val="004C2018"/>
    <w:rsid w:val="004C64E7"/>
    <w:rsid w:val="004E5023"/>
    <w:rsid w:val="004F7B40"/>
    <w:rsid w:val="00526A04"/>
    <w:rsid w:val="005426A8"/>
    <w:rsid w:val="00561585"/>
    <w:rsid w:val="005834BF"/>
    <w:rsid w:val="00585191"/>
    <w:rsid w:val="005C2DFE"/>
    <w:rsid w:val="005E159F"/>
    <w:rsid w:val="00601B6B"/>
    <w:rsid w:val="00606190"/>
    <w:rsid w:val="006154B1"/>
    <w:rsid w:val="006277E6"/>
    <w:rsid w:val="006435C0"/>
    <w:rsid w:val="00666C56"/>
    <w:rsid w:val="0067433A"/>
    <w:rsid w:val="00694147"/>
    <w:rsid w:val="006C11AD"/>
    <w:rsid w:val="006C708A"/>
    <w:rsid w:val="006E6F88"/>
    <w:rsid w:val="00717DD1"/>
    <w:rsid w:val="0073246A"/>
    <w:rsid w:val="00744DF4"/>
    <w:rsid w:val="007461EE"/>
    <w:rsid w:val="00750EB9"/>
    <w:rsid w:val="00792E0C"/>
    <w:rsid w:val="007A4AE0"/>
    <w:rsid w:val="007B3FF0"/>
    <w:rsid w:val="007F4922"/>
    <w:rsid w:val="00813C32"/>
    <w:rsid w:val="00815CEE"/>
    <w:rsid w:val="00816721"/>
    <w:rsid w:val="008322B7"/>
    <w:rsid w:val="00847F7C"/>
    <w:rsid w:val="0086398B"/>
    <w:rsid w:val="00890BB0"/>
    <w:rsid w:val="00891454"/>
    <w:rsid w:val="008922E4"/>
    <w:rsid w:val="008C3183"/>
    <w:rsid w:val="008F0747"/>
    <w:rsid w:val="008F1AA0"/>
    <w:rsid w:val="008F7E42"/>
    <w:rsid w:val="00907955"/>
    <w:rsid w:val="00910806"/>
    <w:rsid w:val="0091182D"/>
    <w:rsid w:val="00915CF9"/>
    <w:rsid w:val="009858DE"/>
    <w:rsid w:val="009A2FE6"/>
    <w:rsid w:val="009B6585"/>
    <w:rsid w:val="009E19BC"/>
    <w:rsid w:val="009E5299"/>
    <w:rsid w:val="009E5DFA"/>
    <w:rsid w:val="009E7261"/>
    <w:rsid w:val="00A23701"/>
    <w:rsid w:val="00A43F4B"/>
    <w:rsid w:val="00A55955"/>
    <w:rsid w:val="00A616B9"/>
    <w:rsid w:val="00A84651"/>
    <w:rsid w:val="00AA1D75"/>
    <w:rsid w:val="00AB7DDF"/>
    <w:rsid w:val="00AC20BC"/>
    <w:rsid w:val="00AE08FB"/>
    <w:rsid w:val="00B03F86"/>
    <w:rsid w:val="00B129D1"/>
    <w:rsid w:val="00B233E6"/>
    <w:rsid w:val="00B41826"/>
    <w:rsid w:val="00B447C7"/>
    <w:rsid w:val="00B72567"/>
    <w:rsid w:val="00B763F7"/>
    <w:rsid w:val="00B76E15"/>
    <w:rsid w:val="00B77B9B"/>
    <w:rsid w:val="00B907DC"/>
    <w:rsid w:val="00BA3920"/>
    <w:rsid w:val="00BC2930"/>
    <w:rsid w:val="00BE4566"/>
    <w:rsid w:val="00BF26B8"/>
    <w:rsid w:val="00BF6F03"/>
    <w:rsid w:val="00C064B2"/>
    <w:rsid w:val="00C10AEF"/>
    <w:rsid w:val="00C145FA"/>
    <w:rsid w:val="00C34569"/>
    <w:rsid w:val="00C40BD4"/>
    <w:rsid w:val="00C43123"/>
    <w:rsid w:val="00C56BBE"/>
    <w:rsid w:val="00C63D4F"/>
    <w:rsid w:val="00C804EF"/>
    <w:rsid w:val="00CA0E53"/>
    <w:rsid w:val="00CA1B19"/>
    <w:rsid w:val="00CE02F3"/>
    <w:rsid w:val="00CE4BED"/>
    <w:rsid w:val="00CF4767"/>
    <w:rsid w:val="00CF68D0"/>
    <w:rsid w:val="00D06393"/>
    <w:rsid w:val="00D06C36"/>
    <w:rsid w:val="00D20D96"/>
    <w:rsid w:val="00D3200D"/>
    <w:rsid w:val="00D70378"/>
    <w:rsid w:val="00D822CE"/>
    <w:rsid w:val="00D8595E"/>
    <w:rsid w:val="00D861EB"/>
    <w:rsid w:val="00D87FA3"/>
    <w:rsid w:val="00D961F5"/>
    <w:rsid w:val="00D96D28"/>
    <w:rsid w:val="00D96FE5"/>
    <w:rsid w:val="00DA7797"/>
    <w:rsid w:val="00DB62CD"/>
    <w:rsid w:val="00DD2A01"/>
    <w:rsid w:val="00DD6B72"/>
    <w:rsid w:val="00DF7B02"/>
    <w:rsid w:val="00E01C47"/>
    <w:rsid w:val="00E2633E"/>
    <w:rsid w:val="00E901AF"/>
    <w:rsid w:val="00EA5F4D"/>
    <w:rsid w:val="00EB25B2"/>
    <w:rsid w:val="00EB5687"/>
    <w:rsid w:val="00ED22AC"/>
    <w:rsid w:val="00EE4563"/>
    <w:rsid w:val="00F00B37"/>
    <w:rsid w:val="00F102FD"/>
    <w:rsid w:val="00F16A77"/>
    <w:rsid w:val="00F24784"/>
    <w:rsid w:val="00F275E9"/>
    <w:rsid w:val="00F331B7"/>
    <w:rsid w:val="00F53914"/>
    <w:rsid w:val="00F951BC"/>
    <w:rsid w:val="00FA2F45"/>
    <w:rsid w:val="00FE3C13"/>
    <w:rsid w:val="00FE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177C44-7C81-40A5-AD50-56190D2B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 Char Char"/>
    <w:basedOn w:val="Normal"/>
    <w:next w:val="Normal"/>
    <w:link w:val="Heading1Char1"/>
    <w:qFormat/>
    <w:rsid w:val="00BC2930"/>
    <w:pPr>
      <w:keepNext/>
      <w:spacing w:before="240" w:after="60" w:line="240" w:lineRule="auto"/>
      <w:ind w:left="72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6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A56AA"/>
    <w:pPr>
      <w:ind w:left="720"/>
      <w:contextualSpacing/>
    </w:pPr>
  </w:style>
  <w:style w:type="paragraph" w:styleId="Header">
    <w:name w:val="header"/>
    <w:basedOn w:val="Normal"/>
    <w:link w:val="HeaderChar"/>
    <w:unhideWhenUsed/>
    <w:rsid w:val="00B90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7DC"/>
  </w:style>
  <w:style w:type="paragraph" w:styleId="Footer">
    <w:name w:val="footer"/>
    <w:basedOn w:val="Normal"/>
    <w:link w:val="FooterChar"/>
    <w:uiPriority w:val="99"/>
    <w:unhideWhenUsed/>
    <w:rsid w:val="00B90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7DC"/>
  </w:style>
  <w:style w:type="character" w:customStyle="1" w:styleId="Heading1Char">
    <w:name w:val="Heading 1 Char"/>
    <w:basedOn w:val="DefaultParagraphFont"/>
    <w:uiPriority w:val="9"/>
    <w:rsid w:val="00BC2930"/>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 Char Char Char"/>
    <w:basedOn w:val="DefaultParagraphFont"/>
    <w:link w:val="Heading1"/>
    <w:rsid w:val="00BC2930"/>
    <w:rPr>
      <w:rFonts w:ascii="Arial" w:eastAsia="Times New Roman" w:hAnsi="Arial" w:cs="Arial"/>
      <w:b/>
      <w:bCs/>
      <w:kern w:val="32"/>
      <w:sz w:val="32"/>
      <w:szCs w:val="32"/>
    </w:rPr>
  </w:style>
  <w:style w:type="character" w:styleId="CommentReference">
    <w:name w:val="annotation reference"/>
    <w:basedOn w:val="DefaultParagraphFont"/>
    <w:uiPriority w:val="99"/>
    <w:semiHidden/>
    <w:unhideWhenUsed/>
    <w:rsid w:val="00BC2930"/>
    <w:rPr>
      <w:sz w:val="16"/>
      <w:szCs w:val="16"/>
    </w:rPr>
  </w:style>
  <w:style w:type="paragraph" w:styleId="CommentText">
    <w:name w:val="annotation text"/>
    <w:basedOn w:val="Normal"/>
    <w:link w:val="CommentTextChar"/>
    <w:uiPriority w:val="99"/>
    <w:semiHidden/>
    <w:unhideWhenUsed/>
    <w:rsid w:val="00BC2930"/>
    <w:pPr>
      <w:spacing w:line="240" w:lineRule="auto"/>
    </w:pPr>
    <w:rPr>
      <w:sz w:val="20"/>
      <w:szCs w:val="20"/>
    </w:rPr>
  </w:style>
  <w:style w:type="character" w:customStyle="1" w:styleId="CommentTextChar">
    <w:name w:val="Comment Text Char"/>
    <w:basedOn w:val="DefaultParagraphFont"/>
    <w:link w:val="CommentText"/>
    <w:uiPriority w:val="99"/>
    <w:semiHidden/>
    <w:rsid w:val="00BC2930"/>
    <w:rPr>
      <w:sz w:val="20"/>
      <w:szCs w:val="20"/>
    </w:rPr>
  </w:style>
  <w:style w:type="paragraph" w:styleId="CommentSubject">
    <w:name w:val="annotation subject"/>
    <w:basedOn w:val="CommentText"/>
    <w:next w:val="CommentText"/>
    <w:link w:val="CommentSubjectChar"/>
    <w:uiPriority w:val="99"/>
    <w:semiHidden/>
    <w:unhideWhenUsed/>
    <w:rsid w:val="00BC2930"/>
    <w:rPr>
      <w:b/>
      <w:bCs/>
    </w:rPr>
  </w:style>
  <w:style w:type="character" w:customStyle="1" w:styleId="CommentSubjectChar">
    <w:name w:val="Comment Subject Char"/>
    <w:basedOn w:val="CommentTextChar"/>
    <w:link w:val="CommentSubject"/>
    <w:uiPriority w:val="99"/>
    <w:semiHidden/>
    <w:rsid w:val="00BC2930"/>
    <w:rPr>
      <w:b/>
      <w:bCs/>
      <w:sz w:val="20"/>
      <w:szCs w:val="20"/>
    </w:rPr>
  </w:style>
  <w:style w:type="paragraph" w:styleId="BalloonText">
    <w:name w:val="Balloon Text"/>
    <w:basedOn w:val="Normal"/>
    <w:link w:val="BalloonTextChar"/>
    <w:uiPriority w:val="99"/>
    <w:semiHidden/>
    <w:unhideWhenUsed/>
    <w:rsid w:val="00BC2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930"/>
    <w:rPr>
      <w:rFonts w:ascii="Tahoma" w:hAnsi="Tahoma" w:cs="Tahoma"/>
      <w:sz w:val="16"/>
      <w:szCs w:val="16"/>
    </w:rPr>
  </w:style>
  <w:style w:type="character" w:styleId="PlaceholderText">
    <w:name w:val="Placeholder Text"/>
    <w:basedOn w:val="DefaultParagraphFont"/>
    <w:uiPriority w:val="99"/>
    <w:semiHidden/>
    <w:rsid w:val="00EB25B2"/>
    <w:rPr>
      <w:color w:val="808080"/>
    </w:rPr>
  </w:style>
  <w:style w:type="character" w:styleId="IntenseEmphasis">
    <w:name w:val="Intense Emphasis"/>
    <w:basedOn w:val="DefaultParagraphFont"/>
    <w:uiPriority w:val="21"/>
    <w:qFormat/>
    <w:rsid w:val="00A616B9"/>
    <w:rPr>
      <w:b/>
      <w:bCs/>
      <w:i/>
      <w:iCs/>
      <w:color w:val="4F81BD" w:themeColor="accent1"/>
    </w:rPr>
  </w:style>
  <w:style w:type="character" w:styleId="Strong">
    <w:name w:val="Strong"/>
    <w:basedOn w:val="DefaultParagraphFont"/>
    <w:uiPriority w:val="22"/>
    <w:qFormat/>
    <w:rsid w:val="00816721"/>
    <w:rPr>
      <w:b/>
      <w:bCs/>
    </w:rPr>
  </w:style>
  <w:style w:type="table" w:styleId="LightGrid-Accent5">
    <w:name w:val="Light Grid Accent 5"/>
    <w:basedOn w:val="TableNormal"/>
    <w:uiPriority w:val="62"/>
    <w:rsid w:val="00AE08F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
    <w:name w:val="Light Shading"/>
    <w:basedOn w:val="TableNormal"/>
    <w:uiPriority w:val="60"/>
    <w:rsid w:val="004C64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91182D"/>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91182D"/>
    <w:rPr>
      <w:rFonts w:eastAsiaTheme="minorHAnsi"/>
      <w:sz w:val="20"/>
      <w:szCs w:val="20"/>
      <w:lang w:eastAsia="en-US"/>
    </w:rPr>
  </w:style>
  <w:style w:type="character" w:styleId="FootnoteReference">
    <w:name w:val="footnote reference"/>
    <w:basedOn w:val="DefaultParagraphFont"/>
    <w:uiPriority w:val="99"/>
    <w:semiHidden/>
    <w:unhideWhenUsed/>
    <w:rsid w:val="0091182D"/>
    <w:rPr>
      <w:vertAlign w:val="superscript"/>
    </w:rPr>
  </w:style>
  <w:style w:type="paragraph" w:customStyle="1" w:styleId="BOTHeading1">
    <w:name w:val="BOT Heading 1"/>
    <w:basedOn w:val="Heading1"/>
    <w:link w:val="BOTHeading1Char"/>
    <w:rsid w:val="003A5431"/>
    <w:pPr>
      <w:ind w:left="0"/>
    </w:pPr>
    <w:rPr>
      <w:rFonts w:ascii="Arial Narrow" w:hAnsi="Arial Narrow"/>
      <w:color w:val="008080"/>
      <w:sz w:val="36"/>
      <w:lang w:val="en-US" w:eastAsia="en-US"/>
    </w:rPr>
  </w:style>
  <w:style w:type="paragraph" w:customStyle="1" w:styleId="BOTHeading2">
    <w:name w:val="BOT Heading 2"/>
    <w:basedOn w:val="BOTHeading1"/>
    <w:link w:val="BOTHeading2Char"/>
    <w:rsid w:val="003A5431"/>
    <w:pPr>
      <w:spacing w:before="60"/>
    </w:pPr>
    <w:rPr>
      <w:sz w:val="24"/>
    </w:rPr>
  </w:style>
  <w:style w:type="character" w:customStyle="1" w:styleId="BOTHeading1Char">
    <w:name w:val="BOT Heading 1 Char"/>
    <w:basedOn w:val="DefaultParagraphFont"/>
    <w:link w:val="BOTHeading1"/>
    <w:rsid w:val="003A5431"/>
    <w:rPr>
      <w:rFonts w:ascii="Arial Narrow" w:eastAsia="Times New Roman" w:hAnsi="Arial Narrow" w:cs="Arial"/>
      <w:b/>
      <w:bCs/>
      <w:color w:val="008080"/>
      <w:kern w:val="32"/>
      <w:sz w:val="36"/>
      <w:szCs w:val="32"/>
      <w:lang w:val="en-US" w:eastAsia="en-US"/>
    </w:rPr>
  </w:style>
  <w:style w:type="character" w:customStyle="1" w:styleId="BOTHeading2Char">
    <w:name w:val="BOT Heading 2 Char"/>
    <w:basedOn w:val="BOTHeading1Char"/>
    <w:link w:val="BOTHeading2"/>
    <w:rsid w:val="003A5431"/>
    <w:rPr>
      <w:rFonts w:ascii="Arial Narrow" w:eastAsia="Times New Roman" w:hAnsi="Arial Narrow" w:cs="Arial"/>
      <w:b/>
      <w:bCs/>
      <w:color w:val="008080"/>
      <w:kern w:val="32"/>
      <w:sz w:val="24"/>
      <w:szCs w:val="32"/>
      <w:lang w:val="en-US" w:eastAsia="en-US"/>
    </w:rPr>
  </w:style>
  <w:style w:type="character" w:styleId="PageNumber">
    <w:name w:val="page number"/>
    <w:basedOn w:val="DefaultParagraphFont"/>
    <w:rsid w:val="003A5431"/>
  </w:style>
  <w:style w:type="character" w:styleId="Hyperlink">
    <w:name w:val="Hyperlink"/>
    <w:basedOn w:val="DefaultParagraphFont"/>
    <w:uiPriority w:val="99"/>
    <w:unhideWhenUsed/>
    <w:rsid w:val="003A5431"/>
    <w:rPr>
      <w:color w:val="0000FF" w:themeColor="hyperlink"/>
      <w:u w:val="single"/>
    </w:rPr>
  </w:style>
  <w:style w:type="character" w:styleId="FollowedHyperlink">
    <w:name w:val="FollowedHyperlink"/>
    <w:basedOn w:val="DefaultParagraphFont"/>
    <w:uiPriority w:val="99"/>
    <w:semiHidden/>
    <w:unhideWhenUsed/>
    <w:rsid w:val="005E159F"/>
    <w:rPr>
      <w:color w:val="800080" w:themeColor="followedHyperlink"/>
      <w:u w:val="single"/>
    </w:rPr>
  </w:style>
  <w:style w:type="paragraph" w:styleId="NoSpacing">
    <w:name w:val="No Spacing"/>
    <w:uiPriority w:val="1"/>
    <w:qFormat/>
    <w:rsid w:val="00D96F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290423">
      <w:bodyDiv w:val="1"/>
      <w:marLeft w:val="0"/>
      <w:marRight w:val="0"/>
      <w:marTop w:val="0"/>
      <w:marBottom w:val="0"/>
      <w:divBdr>
        <w:top w:val="none" w:sz="0" w:space="0" w:color="auto"/>
        <w:left w:val="none" w:sz="0" w:space="0" w:color="auto"/>
        <w:bottom w:val="none" w:sz="0" w:space="0" w:color="auto"/>
        <w:right w:val="none" w:sz="0" w:space="0" w:color="auto"/>
      </w:divBdr>
    </w:div>
    <w:div w:id="1787113201">
      <w:bodyDiv w:val="1"/>
      <w:marLeft w:val="0"/>
      <w:marRight w:val="0"/>
      <w:marTop w:val="0"/>
      <w:marBottom w:val="0"/>
      <w:divBdr>
        <w:top w:val="none" w:sz="0" w:space="0" w:color="auto"/>
        <w:left w:val="none" w:sz="0" w:space="0" w:color="auto"/>
        <w:bottom w:val="none" w:sz="0" w:space="0" w:color="auto"/>
        <w:right w:val="none" w:sz="0" w:space="0" w:color="auto"/>
      </w:divBdr>
    </w:div>
    <w:div w:id="183116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correspondence.school.nz/policies-and-procedures/policy-framework" TargetMode="External"/><Relationship Id="rId13" Type="http://schemas.openxmlformats.org/officeDocument/2006/relationships/header" Target="header2.xml"/><Relationship Id="rId18" Type="http://schemas.openxmlformats.org/officeDocument/2006/relationships/hyperlink" Target="http://www.legislation.govt.nz/act/public/2014/0040/latest/link.aspx?search=sw_096be8ed8160896f_schedule+1_25_se&amp;p=2&amp;id=DLM147087" TargetMode="External"/><Relationship Id="rId3" Type="http://schemas.openxmlformats.org/officeDocument/2006/relationships/styles" Target="styles.xml"/><Relationship Id="rId21" Type="http://schemas.openxmlformats.org/officeDocument/2006/relationships/hyperlink" Target="http://www.legislation.govt.nz/act/public/2014/0040/latest/link.aspx?search=sw_096be8ed8160896f_schedule+1_25_se&amp;p=2&amp;id=DLM18709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govt.nz/act/public/2014/0040/latest/link.aspx?search=sw_096be8ed8160896f_schedule+1_25_se&amp;p=2&amp;id=DLM147087" TargetMode="External"/><Relationship Id="rId2" Type="http://schemas.openxmlformats.org/officeDocument/2006/relationships/numbering" Target="numbering.xml"/><Relationship Id="rId16" Type="http://schemas.openxmlformats.org/officeDocument/2006/relationships/oleObject" Target="embeddings/Microsoft_Visio_2003-2010_Drawing.vsd"/><Relationship Id="rId20" Type="http://schemas.openxmlformats.org/officeDocument/2006/relationships/hyperlink" Target="http://www.legislation.govt.nz/act/public/2014/0040/latest/link.aspx?search=sw_096be8ed8160896f_schedule+1_25_se&amp;p=2&amp;id=DLM1470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legislation.govt.nz/act/public/2014/0040/latest/link.aspx?search=sw_096be8ed8160896f_schedule+1_25_se&amp;p=2&amp;id=DLM147087" TargetMode="External"/><Relationship Id="rId4" Type="http://schemas.openxmlformats.org/officeDocument/2006/relationships/settings" Target="settings.xml"/><Relationship Id="rId9" Type="http://schemas.openxmlformats.org/officeDocument/2006/relationships/hyperlink" Target="https://www.mvcot.govt.nz/assets/Uploads/Documents/Interagency-guide-working-together.pdf" TargetMode="External"/><Relationship Id="rId14" Type="http://schemas.openxmlformats.org/officeDocument/2006/relationships/footer" Target="footer3.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748B3-500F-40EE-AAA9-BA6C75AC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2525</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Baker</dc:creator>
  <cp:keywords/>
  <dc:description/>
  <cp:lastModifiedBy>Swasti.Arya</cp:lastModifiedBy>
  <cp:revision>2</cp:revision>
  <cp:lastPrinted>2018-01-11T22:22:00Z</cp:lastPrinted>
  <dcterms:created xsi:type="dcterms:W3CDTF">2018-03-04T20:53:00Z</dcterms:created>
  <dcterms:modified xsi:type="dcterms:W3CDTF">2018-03-04T20:53:00Z</dcterms:modified>
</cp:coreProperties>
</file>