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9D4" w:rsidRPr="009C4BFB" w:rsidRDefault="009C4BFB" w:rsidP="004159D4">
      <w:pPr>
        <w:pStyle w:val="BOTHeading1"/>
        <w:ind w:left="3600" w:hanging="3600"/>
        <w:rPr>
          <w:rFonts w:asciiTheme="minorHAnsi" w:hAnsiTheme="minorHAnsi"/>
          <w:color w:val="auto"/>
        </w:rPr>
      </w:pPr>
      <w:bookmarkStart w:id="0" w:name="_GoBack"/>
      <w:bookmarkEnd w:id="0"/>
      <w:r>
        <w:rPr>
          <w:rFonts w:asciiTheme="minorHAnsi" w:hAnsiTheme="minorHAnsi"/>
          <w:color w:val="auto"/>
        </w:rPr>
        <w:t>Complaints</w:t>
      </w:r>
      <w:r w:rsidR="00AC6FB4" w:rsidRPr="009C4BFB">
        <w:rPr>
          <w:rFonts w:asciiTheme="minorHAnsi" w:hAnsiTheme="minorHAnsi"/>
          <w:color w:val="auto"/>
        </w:rPr>
        <w:t xml:space="preserve"> Policy</w:t>
      </w:r>
      <w:r w:rsidR="004159D4" w:rsidRPr="009C4BFB">
        <w:rPr>
          <w:rFonts w:asciiTheme="minorHAnsi" w:hAnsiTheme="minorHAnsi"/>
          <w:color w:val="auto"/>
        </w:rPr>
        <w:t xml:space="preserve">         </w:t>
      </w:r>
      <w:r w:rsidR="004159D4" w:rsidRPr="009C4BFB">
        <w:rPr>
          <w:rFonts w:asciiTheme="minorHAnsi" w:hAnsiTheme="minorHAnsi"/>
          <w:color w:val="auto"/>
        </w:rPr>
        <w:tab/>
      </w:r>
      <w:r w:rsidR="004159D4" w:rsidRPr="009C4BFB">
        <w:rPr>
          <w:rFonts w:asciiTheme="minorHAnsi" w:hAnsiTheme="minorHAnsi"/>
          <w:color w:val="auto"/>
        </w:rPr>
        <w:tab/>
      </w:r>
      <w:r w:rsidR="004159D4" w:rsidRPr="009C4BFB">
        <w:rPr>
          <w:rFonts w:asciiTheme="minorHAnsi" w:hAnsiTheme="minorHAnsi"/>
          <w:color w:val="auto"/>
        </w:rPr>
        <w:tab/>
      </w:r>
    </w:p>
    <w:p w:rsidR="004159D4" w:rsidRPr="009C4BFB" w:rsidRDefault="00D4676C" w:rsidP="004159D4">
      <w:pPr>
        <w:pStyle w:val="BOTHeading1"/>
        <w:rPr>
          <w:rFonts w:asciiTheme="minorHAnsi" w:hAnsiTheme="minorHAnsi"/>
          <w:color w:val="auto"/>
        </w:rPr>
      </w:pPr>
      <w:r>
        <w:rPr>
          <w:rFonts w:asciiTheme="minorHAnsi" w:hAnsiTheme="minorHAnsi"/>
          <w:noProof/>
          <w:color w:val="auto"/>
          <w:lang w:val="en-NZ" w:eastAsia="en-NZ"/>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347345</wp:posOffset>
                </wp:positionV>
                <wp:extent cx="5486400" cy="4445"/>
                <wp:effectExtent l="7620" t="6985" r="1143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A851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35pt" to="6in,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5//FAIAACsEAAAOAAAAZHJzL2Uyb0RvYy54bWysU02P2jAQvVfqf7B8h3w0UIgIq4pAL7SL&#10;tNsfYGyHWHVsyzYEVPW/d2wCWtpLVTUHZ2zPvHkzb7x4OncSnbh1QqsKZ+MUI66oZkIdKvztdTOa&#10;YeQ8UYxIrXiFL9zhp+X7d4velDzXrZaMWwQgypW9qXDrvSmTxNGWd8SNteEKLhttO+Jhaw8Js6QH&#10;9E4meZpOk15bZqym3Dk4ra+XeBnxm4ZT/9w0jnskKwzcfFxtXPdhTZYLUh4sMa2gAw3yDyw6IhQk&#10;vUPVxBN0tOIPqE5Qq51u/JjqLtFNIyiPNUA1WfpbNS8tMTzWAs1x5t4m9/9g6dfTziLBKpxjpEgH&#10;Em2F4igPnemNK8FhpXY21EbP6sVsNf3ukNKrlqgDjwxfLwbCshCRPISEjTOAv++/aAY+5Oh1bNO5&#10;sV2AhAagc1TjcleDnz2icDgpZtMiBdEo3BVFMYkJSHmLNdb5z1x3KBgVlkA7YpPT1vnAhZQ3l5BK&#10;6Y2QMuotFeorPJ/kkxjgtBQsXAY3Zw/7lbToRMLExG/I++Bm9VGxCNZywtaD7YmQVxuSSxXwoBqg&#10;M1jXkfgxT+fr2XpWjIp8uh4VaV2PPm1WxWi6yT5O6g/1alVnPwO1rChbwRhXgd1tPLPi7+QfHsp1&#10;sO4Dem9D8oge+wVkb/9IOsoZFLzOwl6zy87eZIaJjM7D6wkj/3YP9ts3vvwFAAD//wMAUEsDBBQA&#10;BgAIAAAAIQAlGcRf3AAAAAYBAAAPAAAAZHJzL2Rvd25yZXYueG1sTI/BTsMwEETvSPyDtUhcqtah&#10;pKUKcSoE5MalhYrrNl6SiHidxm4b+HqWExxnZjXzNl+PrlMnGkLr2cDNLAFFXHnbcm3g7bWcrkCF&#10;iGyx80wGvijAuri8yDGz/swbOm1jraSEQ4YGmhj7TOtQNeQwzHxPLNmHHxxGkUOt7YBnKXednifJ&#10;UjtsWRYa7Omxoepze3QGQrmjQ/k9qSbJ+23taX54enlGY66vxod7UJHG+HcMv/iCDoUw7f2RbVCd&#10;AXkkGlikd6AkXS1TMfZiLFLQRa7/4xc/AAAA//8DAFBLAQItABQABgAIAAAAIQC2gziS/gAAAOEB&#10;AAATAAAAAAAAAAAAAAAAAAAAAABbQ29udGVudF9UeXBlc10ueG1sUEsBAi0AFAAGAAgAAAAhADj9&#10;If/WAAAAlAEAAAsAAAAAAAAAAAAAAAAALwEAAF9yZWxzLy5yZWxzUEsBAi0AFAAGAAgAAAAhABTr&#10;n/8UAgAAKwQAAA4AAAAAAAAAAAAAAAAALgIAAGRycy9lMm9Eb2MueG1sUEsBAi0AFAAGAAgAAAAh&#10;ACUZxF/cAAAABgEAAA8AAAAAAAAAAAAAAAAAbgQAAGRycy9kb3ducmV2LnhtbFBLBQYAAAAABAAE&#10;APMAAAB3BQAAAAA=&#10;"/>
            </w:pict>
          </mc:Fallback>
        </mc:AlternateContent>
      </w:r>
    </w:p>
    <w:p w:rsidR="006567C8" w:rsidRPr="009C4BFB" w:rsidRDefault="004159D4" w:rsidP="004159D4">
      <w:pPr>
        <w:rPr>
          <w:rFonts w:asciiTheme="minorHAnsi" w:hAnsiTheme="minorHAnsi"/>
          <w:sz w:val="20"/>
          <w:szCs w:val="20"/>
        </w:rPr>
      </w:pPr>
      <w:r w:rsidRPr="009C4BFB">
        <w:rPr>
          <w:rFonts w:asciiTheme="minorHAnsi" w:hAnsiTheme="minorHAnsi"/>
          <w:sz w:val="20"/>
          <w:szCs w:val="20"/>
        </w:rPr>
        <w:t>Board of Trustees Minute reference</w:t>
      </w:r>
      <w:r w:rsidRPr="009C4BFB">
        <w:rPr>
          <w:rFonts w:asciiTheme="minorHAnsi" w:hAnsiTheme="minorHAnsi"/>
          <w:sz w:val="20"/>
          <w:szCs w:val="20"/>
        </w:rPr>
        <w:tab/>
      </w:r>
      <w:r w:rsidRPr="009C4BFB">
        <w:rPr>
          <w:rFonts w:asciiTheme="minorHAnsi" w:hAnsiTheme="minorHAnsi"/>
          <w:sz w:val="20"/>
          <w:szCs w:val="20"/>
        </w:rPr>
        <w:tab/>
        <w:t xml:space="preserve">: </w:t>
      </w:r>
      <w:r w:rsidR="00BB74E1">
        <w:rPr>
          <w:rFonts w:asciiTheme="minorHAnsi" w:hAnsiTheme="minorHAnsi"/>
          <w:sz w:val="20"/>
          <w:szCs w:val="20"/>
        </w:rPr>
        <w:t xml:space="preserve">May </w:t>
      </w:r>
      <w:r w:rsidR="00C57C47">
        <w:rPr>
          <w:rFonts w:asciiTheme="minorHAnsi" w:hAnsiTheme="minorHAnsi"/>
          <w:sz w:val="20"/>
          <w:szCs w:val="20"/>
        </w:rPr>
        <w:t>20</w:t>
      </w:r>
      <w:r w:rsidR="009B7FC6">
        <w:rPr>
          <w:rFonts w:asciiTheme="minorHAnsi" w:hAnsiTheme="minorHAnsi"/>
          <w:sz w:val="20"/>
          <w:szCs w:val="20"/>
        </w:rPr>
        <w:t>17</w:t>
      </w:r>
      <w:r w:rsidR="00CC19E9">
        <w:rPr>
          <w:rFonts w:asciiTheme="minorHAnsi" w:hAnsiTheme="minorHAnsi"/>
          <w:sz w:val="20"/>
          <w:szCs w:val="20"/>
        </w:rPr>
        <w:t xml:space="preserve"> Part 1 Item</w:t>
      </w:r>
      <w:r w:rsidR="00191581">
        <w:rPr>
          <w:rFonts w:asciiTheme="minorHAnsi" w:hAnsiTheme="minorHAnsi"/>
          <w:sz w:val="20"/>
          <w:szCs w:val="20"/>
        </w:rPr>
        <w:t xml:space="preserve"> </w:t>
      </w:r>
      <w:r w:rsidR="009B7FC6">
        <w:rPr>
          <w:rFonts w:asciiTheme="minorHAnsi" w:hAnsiTheme="minorHAnsi"/>
          <w:sz w:val="20"/>
          <w:szCs w:val="20"/>
        </w:rPr>
        <w:t>5</w:t>
      </w:r>
    </w:p>
    <w:p w:rsidR="004159D4" w:rsidRPr="009C4BFB" w:rsidRDefault="00C57C47" w:rsidP="004159D4">
      <w:pPr>
        <w:rPr>
          <w:rFonts w:asciiTheme="minorHAnsi" w:hAnsiTheme="minorHAnsi"/>
          <w:sz w:val="20"/>
          <w:szCs w:val="20"/>
        </w:rPr>
      </w:pPr>
      <w:r>
        <w:rPr>
          <w:rFonts w:asciiTheme="minorHAnsi" w:hAnsiTheme="minorHAnsi"/>
          <w:sz w:val="20"/>
          <w:szCs w:val="20"/>
        </w:rPr>
        <w:t>D</w:t>
      </w:r>
      <w:r w:rsidR="009C4BFB">
        <w:rPr>
          <w:rFonts w:asciiTheme="minorHAnsi" w:hAnsiTheme="minorHAnsi"/>
          <w:sz w:val="20"/>
          <w:szCs w:val="20"/>
        </w:rPr>
        <w:t>ate</w:t>
      </w:r>
      <w:r>
        <w:rPr>
          <w:rFonts w:asciiTheme="minorHAnsi" w:hAnsiTheme="minorHAnsi"/>
          <w:sz w:val="20"/>
          <w:szCs w:val="20"/>
        </w:rPr>
        <w:t xml:space="preserve"> first created/This version no.</w:t>
      </w:r>
      <w:r w:rsidR="004159D4" w:rsidRPr="009C4BFB">
        <w:rPr>
          <w:rFonts w:asciiTheme="minorHAnsi" w:hAnsiTheme="minorHAnsi"/>
          <w:sz w:val="20"/>
          <w:szCs w:val="20"/>
        </w:rPr>
        <w:tab/>
      </w:r>
      <w:r w:rsidR="009B7FC6">
        <w:rPr>
          <w:rFonts w:asciiTheme="minorHAnsi" w:hAnsiTheme="minorHAnsi"/>
          <w:sz w:val="20"/>
          <w:szCs w:val="20"/>
        </w:rPr>
        <w:tab/>
      </w:r>
      <w:r w:rsidR="004159D4" w:rsidRPr="009C4BFB">
        <w:rPr>
          <w:rFonts w:asciiTheme="minorHAnsi" w:hAnsiTheme="minorHAnsi"/>
          <w:sz w:val="20"/>
          <w:szCs w:val="20"/>
        </w:rPr>
        <w:tab/>
        <w:t xml:space="preserve">: </w:t>
      </w:r>
      <w:r>
        <w:rPr>
          <w:rFonts w:asciiTheme="minorHAnsi" w:hAnsiTheme="minorHAnsi"/>
          <w:sz w:val="20"/>
          <w:szCs w:val="20"/>
        </w:rPr>
        <w:t>February 2012/3</w:t>
      </w:r>
    </w:p>
    <w:p w:rsidR="004159D4" w:rsidRPr="009C4BFB" w:rsidRDefault="004159D4" w:rsidP="00E05C7E">
      <w:pPr>
        <w:rPr>
          <w:rFonts w:asciiTheme="minorHAnsi" w:hAnsiTheme="minorHAnsi"/>
          <w:sz w:val="20"/>
          <w:szCs w:val="20"/>
        </w:rPr>
      </w:pPr>
      <w:r w:rsidRPr="009C4BFB">
        <w:rPr>
          <w:rFonts w:asciiTheme="minorHAnsi" w:hAnsiTheme="minorHAnsi"/>
          <w:sz w:val="20"/>
          <w:szCs w:val="20"/>
        </w:rPr>
        <w:t>Review date</w:t>
      </w:r>
      <w:r w:rsidR="006567C8" w:rsidRPr="009C4BFB">
        <w:rPr>
          <w:rFonts w:asciiTheme="minorHAnsi" w:hAnsiTheme="minorHAnsi"/>
          <w:sz w:val="20"/>
          <w:szCs w:val="20"/>
        </w:rPr>
        <w:t xml:space="preserve"> (</w:t>
      </w:r>
      <w:r w:rsidR="009C4BFB">
        <w:rPr>
          <w:rFonts w:asciiTheme="minorHAnsi" w:hAnsiTheme="minorHAnsi"/>
          <w:sz w:val="20"/>
          <w:szCs w:val="20"/>
        </w:rPr>
        <w:t>3</w:t>
      </w:r>
      <w:r w:rsidR="006567C8" w:rsidRPr="009C4BFB">
        <w:rPr>
          <w:rFonts w:asciiTheme="minorHAnsi" w:hAnsiTheme="minorHAnsi"/>
          <w:sz w:val="20"/>
          <w:szCs w:val="20"/>
        </w:rPr>
        <w:t xml:space="preserve"> year cycle)</w:t>
      </w:r>
      <w:r w:rsidRPr="009C4BFB">
        <w:rPr>
          <w:rFonts w:asciiTheme="minorHAnsi" w:hAnsiTheme="minorHAnsi"/>
          <w:sz w:val="20"/>
          <w:szCs w:val="20"/>
        </w:rPr>
        <w:tab/>
      </w:r>
      <w:r w:rsidRPr="009C4BFB">
        <w:rPr>
          <w:rFonts w:asciiTheme="minorHAnsi" w:hAnsiTheme="minorHAnsi"/>
          <w:sz w:val="20"/>
          <w:szCs w:val="20"/>
        </w:rPr>
        <w:tab/>
      </w:r>
      <w:r w:rsidRPr="009C4BFB">
        <w:rPr>
          <w:rFonts w:asciiTheme="minorHAnsi" w:hAnsiTheme="minorHAnsi"/>
          <w:sz w:val="20"/>
          <w:szCs w:val="20"/>
        </w:rPr>
        <w:tab/>
      </w:r>
      <w:r w:rsidRPr="009C4BFB">
        <w:rPr>
          <w:rFonts w:asciiTheme="minorHAnsi" w:hAnsiTheme="minorHAnsi"/>
          <w:sz w:val="20"/>
          <w:szCs w:val="20"/>
        </w:rPr>
        <w:tab/>
        <w:t xml:space="preserve">: </w:t>
      </w:r>
      <w:r w:rsidR="00BB74E1">
        <w:rPr>
          <w:rFonts w:asciiTheme="minorHAnsi" w:hAnsiTheme="minorHAnsi"/>
          <w:sz w:val="20"/>
          <w:szCs w:val="20"/>
        </w:rPr>
        <w:t xml:space="preserve">May </w:t>
      </w:r>
      <w:r w:rsidR="009B7FC6">
        <w:rPr>
          <w:rFonts w:asciiTheme="minorHAnsi" w:hAnsiTheme="minorHAnsi"/>
          <w:sz w:val="20"/>
          <w:szCs w:val="20"/>
        </w:rPr>
        <w:t>2020</w:t>
      </w:r>
    </w:p>
    <w:p w:rsidR="004159D4" w:rsidRDefault="00E25165" w:rsidP="00E05C7E">
      <w:pPr>
        <w:rPr>
          <w:rFonts w:asciiTheme="minorHAnsi" w:hAnsiTheme="minorHAnsi"/>
          <w:sz w:val="20"/>
          <w:szCs w:val="20"/>
        </w:rPr>
      </w:pPr>
      <w:r>
        <w:rPr>
          <w:rFonts w:asciiTheme="minorHAnsi" w:hAnsiTheme="minorHAnsi"/>
          <w:sz w:val="20"/>
          <w:szCs w:val="20"/>
        </w:rPr>
        <w:t>Owner</w:t>
      </w:r>
      <w:r w:rsidR="004159D4" w:rsidRPr="009C4BFB">
        <w:rPr>
          <w:rFonts w:asciiTheme="minorHAnsi" w:hAnsiTheme="minorHAnsi"/>
          <w:sz w:val="20"/>
          <w:szCs w:val="20"/>
        </w:rPr>
        <w:tab/>
      </w:r>
      <w:r w:rsidR="004159D4" w:rsidRPr="009C4BFB">
        <w:rPr>
          <w:rFonts w:asciiTheme="minorHAnsi" w:hAnsiTheme="minorHAnsi"/>
          <w:sz w:val="20"/>
          <w:szCs w:val="20"/>
        </w:rPr>
        <w:tab/>
      </w:r>
      <w:r w:rsidR="004159D4" w:rsidRPr="009C4BFB">
        <w:rPr>
          <w:rFonts w:asciiTheme="minorHAnsi" w:hAnsiTheme="minorHAnsi"/>
          <w:sz w:val="20"/>
          <w:szCs w:val="20"/>
        </w:rPr>
        <w:tab/>
      </w:r>
      <w:r w:rsidR="004159D4" w:rsidRPr="009C4BFB">
        <w:rPr>
          <w:rFonts w:asciiTheme="minorHAnsi" w:hAnsiTheme="minorHAnsi"/>
          <w:sz w:val="20"/>
          <w:szCs w:val="20"/>
        </w:rPr>
        <w:tab/>
      </w:r>
      <w:r w:rsidR="004159D4" w:rsidRPr="009C4BFB">
        <w:rPr>
          <w:rFonts w:asciiTheme="minorHAnsi" w:hAnsiTheme="minorHAnsi"/>
          <w:sz w:val="20"/>
          <w:szCs w:val="20"/>
        </w:rPr>
        <w:tab/>
      </w:r>
      <w:r w:rsidR="004159D4" w:rsidRPr="009C4BFB">
        <w:rPr>
          <w:rFonts w:asciiTheme="minorHAnsi" w:hAnsiTheme="minorHAnsi"/>
          <w:sz w:val="20"/>
          <w:szCs w:val="20"/>
        </w:rPr>
        <w:tab/>
        <w:t xml:space="preserve">: CE, </w:t>
      </w:r>
      <w:r w:rsidR="009C4BFB">
        <w:rPr>
          <w:rFonts w:asciiTheme="minorHAnsi" w:hAnsiTheme="minorHAnsi"/>
          <w:sz w:val="20"/>
          <w:szCs w:val="20"/>
        </w:rPr>
        <w:t>SLT members</w:t>
      </w:r>
    </w:p>
    <w:p w:rsidR="00B061C5" w:rsidRPr="009C4BFB" w:rsidRDefault="00B061C5" w:rsidP="00E05C7E">
      <w:pPr>
        <w:rPr>
          <w:rFonts w:asciiTheme="minorHAnsi" w:hAnsiTheme="minorHAnsi"/>
          <w:sz w:val="20"/>
          <w:szCs w:val="20"/>
        </w:rPr>
      </w:pPr>
      <w:r>
        <w:rPr>
          <w:rFonts w:asciiTheme="minorHAnsi" w:hAnsiTheme="minorHAnsi"/>
          <w:sz w:val="20"/>
          <w:szCs w:val="20"/>
        </w:rPr>
        <w:t>Responsibility</w:t>
      </w:r>
      <w:r w:rsidR="00C57C47">
        <w:rPr>
          <w:rFonts w:asciiTheme="minorHAnsi" w:hAnsiTheme="minorHAnsi"/>
          <w:sz w:val="20"/>
          <w:szCs w:val="20"/>
        </w:rPr>
        <w:t xml:space="preserve"> for this policy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Chief Advisor</w:t>
      </w:r>
      <w:r w:rsidR="00C57C47">
        <w:rPr>
          <w:rFonts w:asciiTheme="minorHAnsi" w:hAnsiTheme="minorHAnsi"/>
          <w:sz w:val="20"/>
          <w:szCs w:val="20"/>
        </w:rPr>
        <w:t>, Strategy</w:t>
      </w:r>
    </w:p>
    <w:p w:rsidR="004159D4" w:rsidRPr="00B061C5" w:rsidRDefault="00D4676C" w:rsidP="00B061C5">
      <w:pPr>
        <w:autoSpaceDE w:val="0"/>
        <w:autoSpaceDN w:val="0"/>
        <w:adjustRightInd w:val="0"/>
        <w:rPr>
          <w:rFonts w:asciiTheme="minorHAnsi" w:hAnsiTheme="minorHAnsi" w:cs="Arial"/>
          <w:szCs w:val="22"/>
        </w:rPr>
      </w:pPr>
      <w:r>
        <w:rPr>
          <w:rFonts w:asciiTheme="minorHAnsi" w:hAnsiTheme="minorHAnsi" w:cs="Arial"/>
          <w:noProof/>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205740</wp:posOffset>
                </wp:positionV>
                <wp:extent cx="5486400" cy="4445"/>
                <wp:effectExtent l="7620" t="5715" r="11430"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B678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pt" to="6in,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kxFA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YKdKB&#10;RFuhOHoKnemNK8ChUjsbaqNn9WK2mn53SOmqJerAI8PXi4GwLEQkDyFh4wzg7/vPmoEPOXod23Ru&#10;bBcgoQHoHNW43NXgZ48oHE7z+SxPQTQKd3meT2MCUtxijXX+E9cdCkaJJdCO2OS0dT5wIcXNJaRS&#10;eiOkjHpLhfoSL6aTaQxwWgoWLoObs4d9JS06kTAx8RvyPrhZfVQsgrWcsPVgeyLk1YbkUgU8qAbo&#10;DNZ1JH4s0sV6vp7no3wyW4/ytK5HHzdVPpptsg/T+qmuqjr7GahledEKxrgK7G7jmeV/J//wUK6D&#10;dR/QexuSR/TYLyB7+0fSUc6g4HUW9ppddvYmM0xkdB5eTxj5t3uw377x1S8AAAD//wMAUEsDBBQA&#10;BgAIAAAAIQB8CaJY2wAAAAYBAAAPAAAAZHJzL2Rvd25yZXYueG1sTI/BTsMwEETvSPyDtUhcKuo0&#10;qaoqxKkQkBuXFhDXbbwkEfE6jd028PVdTnCcmdXM22IzuV6daAydZwOLeQKKuPa248bA22t1twYV&#10;IrLF3jMZ+KYAm/L6qsDc+jNv6bSLjZISDjkaaGMccq1D3ZLDMPcDsWSffnQYRY6NtiOepdz1Ok2S&#10;lXbYsSy0ONBjS/XX7ugMhOqdDtXPrJ4lH1njKT08vTyjMbc308M9qEhT/DuGX3xBh1KY9v7INqje&#10;gDwSDWTpEpSk69VSjL0Y2QJ0Wej/+OUFAAD//wMAUEsBAi0AFAAGAAgAAAAhALaDOJL+AAAA4QEA&#10;ABMAAAAAAAAAAAAAAAAAAAAAAFtDb250ZW50X1R5cGVzXS54bWxQSwECLQAUAAYACAAAACEAOP0h&#10;/9YAAACUAQAACwAAAAAAAAAAAAAAAAAvAQAAX3JlbHMvLnJlbHNQSwECLQAUAAYACAAAACEAVSs5&#10;MRQCAAArBAAADgAAAAAAAAAAAAAAAAAuAgAAZHJzL2Uyb0RvYy54bWxQSwECLQAUAAYACAAAACEA&#10;fAmiWNsAAAAGAQAADwAAAAAAAAAAAAAAAABuBAAAZHJzL2Rvd25yZXYueG1sUEsFBgAAAAAEAAQA&#10;8wAAAHYFAAAAAA==&#10;"/>
            </w:pict>
          </mc:Fallback>
        </mc:AlternateContent>
      </w:r>
    </w:p>
    <w:p w:rsidR="000A2556" w:rsidRPr="009C4BFB" w:rsidRDefault="000A2556" w:rsidP="000A2556">
      <w:pPr>
        <w:pStyle w:val="BOTHeading2"/>
        <w:rPr>
          <w:rFonts w:asciiTheme="minorHAnsi" w:hAnsiTheme="minorHAnsi"/>
          <w:color w:val="auto"/>
        </w:rPr>
      </w:pPr>
      <w:r w:rsidRPr="009C4BFB">
        <w:rPr>
          <w:rFonts w:asciiTheme="minorHAnsi" w:hAnsiTheme="minorHAnsi"/>
          <w:color w:val="auto"/>
        </w:rPr>
        <w:t>Background</w:t>
      </w:r>
    </w:p>
    <w:p w:rsidR="000A2556" w:rsidRDefault="000A2556" w:rsidP="000A2556">
      <w:pPr>
        <w:pStyle w:val="BOTHeading2"/>
        <w:rPr>
          <w:rFonts w:asciiTheme="minorHAnsi" w:hAnsiTheme="minorHAnsi"/>
          <w:b w:val="0"/>
          <w:color w:val="auto"/>
          <w:sz w:val="22"/>
          <w:szCs w:val="22"/>
        </w:rPr>
      </w:pPr>
      <w:r w:rsidRPr="009C4BFB">
        <w:rPr>
          <w:rFonts w:asciiTheme="minorHAnsi" w:hAnsiTheme="minorHAnsi"/>
          <w:b w:val="0"/>
          <w:color w:val="auto"/>
          <w:sz w:val="22"/>
          <w:szCs w:val="22"/>
        </w:rPr>
        <w:t>The Board recognises its responsibilities</w:t>
      </w:r>
    </w:p>
    <w:p w:rsidR="0096293C" w:rsidRPr="009C4BFB" w:rsidRDefault="0096293C" w:rsidP="0096293C">
      <w:pPr>
        <w:pStyle w:val="BOTHeading2"/>
        <w:numPr>
          <w:ilvl w:val="0"/>
          <w:numId w:val="2"/>
        </w:numPr>
        <w:rPr>
          <w:rFonts w:asciiTheme="minorHAnsi" w:hAnsiTheme="minorHAnsi"/>
          <w:b w:val="0"/>
          <w:color w:val="auto"/>
          <w:sz w:val="22"/>
          <w:szCs w:val="22"/>
        </w:rPr>
      </w:pPr>
      <w:r>
        <w:rPr>
          <w:rFonts w:asciiTheme="minorHAnsi" w:hAnsiTheme="minorHAnsi"/>
          <w:b w:val="0"/>
          <w:color w:val="auto"/>
          <w:sz w:val="22"/>
          <w:szCs w:val="22"/>
        </w:rPr>
        <w:t xml:space="preserve">under </w:t>
      </w:r>
      <w:r w:rsidR="00C57C47" w:rsidRPr="009B7FC6">
        <w:rPr>
          <w:rFonts w:asciiTheme="minorHAnsi" w:hAnsiTheme="minorHAnsi"/>
          <w:b w:val="0"/>
          <w:color w:val="auto"/>
          <w:sz w:val="22"/>
          <w:szCs w:val="22"/>
        </w:rPr>
        <w:t>National Administration Guideline</w:t>
      </w:r>
      <w:r w:rsidR="00C57C47" w:rsidRPr="009B7FC6">
        <w:rPr>
          <w:rFonts w:asciiTheme="minorHAnsi" w:hAnsiTheme="minorHAnsi"/>
          <w:color w:val="auto"/>
        </w:rPr>
        <w:t xml:space="preserve"> </w:t>
      </w:r>
      <w:r w:rsidR="00C57C47" w:rsidRPr="009B7FC6">
        <w:rPr>
          <w:rFonts w:asciiTheme="minorHAnsi" w:hAnsiTheme="minorHAnsi"/>
          <w:b w:val="0"/>
          <w:color w:val="auto"/>
        </w:rPr>
        <w:t>(</w:t>
      </w:r>
      <w:r w:rsidRPr="009B7FC6">
        <w:rPr>
          <w:rFonts w:asciiTheme="minorHAnsi" w:hAnsiTheme="minorHAnsi"/>
          <w:b w:val="0"/>
          <w:color w:val="auto"/>
          <w:sz w:val="22"/>
          <w:szCs w:val="22"/>
        </w:rPr>
        <w:t>NAG</w:t>
      </w:r>
      <w:r w:rsidR="00C57C47" w:rsidRPr="009B7FC6">
        <w:rPr>
          <w:rFonts w:asciiTheme="minorHAnsi" w:hAnsiTheme="minorHAnsi"/>
          <w:b w:val="0"/>
          <w:color w:val="auto"/>
          <w:sz w:val="22"/>
          <w:szCs w:val="22"/>
        </w:rPr>
        <w:t>)</w:t>
      </w:r>
      <w:r>
        <w:rPr>
          <w:rFonts w:asciiTheme="minorHAnsi" w:hAnsiTheme="minorHAnsi"/>
          <w:b w:val="0"/>
          <w:color w:val="auto"/>
          <w:sz w:val="22"/>
          <w:szCs w:val="22"/>
        </w:rPr>
        <w:t xml:space="preserve"> 1, </w:t>
      </w:r>
      <w:r w:rsidRPr="0096293C">
        <w:rPr>
          <w:rFonts w:asciiTheme="minorHAnsi" w:hAnsiTheme="minorHAnsi"/>
          <w:b w:val="0"/>
          <w:color w:val="auto"/>
          <w:sz w:val="22"/>
          <w:szCs w:val="22"/>
        </w:rPr>
        <w:t>to foster student achievement</w:t>
      </w:r>
    </w:p>
    <w:p w:rsidR="000A2556" w:rsidRPr="009C4BFB" w:rsidRDefault="000A2556" w:rsidP="000A2556">
      <w:pPr>
        <w:pStyle w:val="BOTHeading2"/>
        <w:numPr>
          <w:ilvl w:val="0"/>
          <w:numId w:val="2"/>
        </w:numPr>
        <w:rPr>
          <w:rFonts w:asciiTheme="minorHAnsi" w:hAnsiTheme="minorHAnsi"/>
          <w:b w:val="0"/>
          <w:color w:val="auto"/>
          <w:sz w:val="22"/>
          <w:szCs w:val="22"/>
        </w:rPr>
      </w:pPr>
      <w:r w:rsidRPr="009C4BFB">
        <w:rPr>
          <w:rFonts w:asciiTheme="minorHAnsi" w:hAnsiTheme="minorHAnsi"/>
          <w:b w:val="0"/>
          <w:color w:val="auto"/>
          <w:sz w:val="22"/>
          <w:szCs w:val="22"/>
        </w:rPr>
        <w:t>under N</w:t>
      </w:r>
      <w:r w:rsidR="009C4BFB">
        <w:rPr>
          <w:rFonts w:asciiTheme="minorHAnsi" w:hAnsiTheme="minorHAnsi"/>
          <w:b w:val="0"/>
          <w:color w:val="auto"/>
          <w:sz w:val="22"/>
          <w:szCs w:val="22"/>
        </w:rPr>
        <w:t>AG</w:t>
      </w:r>
      <w:r w:rsidRPr="009C4BFB">
        <w:rPr>
          <w:rFonts w:asciiTheme="minorHAnsi" w:hAnsiTheme="minorHAnsi"/>
          <w:b w:val="0"/>
          <w:color w:val="auto"/>
          <w:sz w:val="22"/>
          <w:szCs w:val="22"/>
        </w:rPr>
        <w:t xml:space="preserve"> 3, in accordance with legislation on employment and personnel matters, to be a good employer, and  </w:t>
      </w:r>
    </w:p>
    <w:p w:rsidR="000A2556" w:rsidRPr="009C4BFB" w:rsidRDefault="000A2556" w:rsidP="000A2556">
      <w:pPr>
        <w:pStyle w:val="BOTHeading2"/>
        <w:numPr>
          <w:ilvl w:val="0"/>
          <w:numId w:val="2"/>
        </w:numPr>
        <w:rPr>
          <w:rFonts w:asciiTheme="minorHAnsi" w:hAnsiTheme="minorHAnsi"/>
          <w:b w:val="0"/>
          <w:color w:val="auto"/>
          <w:sz w:val="22"/>
          <w:szCs w:val="22"/>
        </w:rPr>
      </w:pPr>
      <w:r w:rsidRPr="009C4BFB">
        <w:rPr>
          <w:rFonts w:asciiTheme="minorHAnsi" w:hAnsiTheme="minorHAnsi"/>
          <w:b w:val="0"/>
          <w:color w:val="auto"/>
          <w:sz w:val="22"/>
          <w:szCs w:val="22"/>
        </w:rPr>
        <w:t>under N</w:t>
      </w:r>
      <w:r w:rsidR="009C4BFB">
        <w:rPr>
          <w:rFonts w:asciiTheme="minorHAnsi" w:hAnsiTheme="minorHAnsi"/>
          <w:b w:val="0"/>
          <w:color w:val="auto"/>
          <w:sz w:val="22"/>
          <w:szCs w:val="22"/>
        </w:rPr>
        <w:t>AG</w:t>
      </w:r>
      <w:r w:rsidRPr="009C4BFB">
        <w:rPr>
          <w:rFonts w:asciiTheme="minorHAnsi" w:hAnsiTheme="minorHAnsi"/>
          <w:b w:val="0"/>
          <w:color w:val="auto"/>
          <w:sz w:val="22"/>
          <w:szCs w:val="22"/>
        </w:rPr>
        <w:t xml:space="preserve"> 5 to comply with any legislation currently in force or that may be developed to ensure the safety of students and employees.</w:t>
      </w:r>
    </w:p>
    <w:p w:rsidR="000A2556" w:rsidRPr="00B061C5" w:rsidRDefault="000A2556" w:rsidP="00B061C5">
      <w:pPr>
        <w:autoSpaceDE w:val="0"/>
        <w:autoSpaceDN w:val="0"/>
        <w:adjustRightInd w:val="0"/>
        <w:rPr>
          <w:rFonts w:asciiTheme="minorHAnsi" w:hAnsiTheme="minorHAnsi" w:cs="Arial"/>
          <w:szCs w:val="22"/>
        </w:rPr>
      </w:pPr>
    </w:p>
    <w:p w:rsidR="0015382F" w:rsidRPr="0015382F" w:rsidRDefault="0015382F" w:rsidP="0015382F">
      <w:pPr>
        <w:pStyle w:val="BOTHeading2"/>
        <w:rPr>
          <w:rFonts w:asciiTheme="minorHAnsi" w:hAnsiTheme="minorHAnsi"/>
          <w:color w:val="auto"/>
        </w:rPr>
      </w:pPr>
      <w:r w:rsidRPr="0015382F">
        <w:rPr>
          <w:rFonts w:asciiTheme="minorHAnsi" w:hAnsiTheme="minorHAnsi"/>
          <w:color w:val="auto"/>
        </w:rPr>
        <w:t>Scope</w:t>
      </w:r>
    </w:p>
    <w:p w:rsidR="0015382F" w:rsidRPr="0096293C" w:rsidRDefault="0015382F" w:rsidP="0015382F">
      <w:pPr>
        <w:pStyle w:val="BOTHeading2"/>
        <w:rPr>
          <w:rFonts w:asciiTheme="minorHAnsi" w:hAnsiTheme="minorHAnsi"/>
          <w:b w:val="0"/>
          <w:color w:val="auto"/>
          <w:sz w:val="22"/>
          <w:szCs w:val="22"/>
        </w:rPr>
      </w:pPr>
      <w:r w:rsidRPr="0096293C">
        <w:rPr>
          <w:rFonts w:asciiTheme="minorHAnsi" w:hAnsiTheme="minorHAnsi"/>
          <w:b w:val="0"/>
          <w:color w:val="auto"/>
          <w:sz w:val="22"/>
          <w:szCs w:val="22"/>
        </w:rPr>
        <w:t>This policy covers external and internal complaints about Te Kura staff, policy, systems, services and processes.</w:t>
      </w:r>
    </w:p>
    <w:p w:rsidR="0015382F" w:rsidRPr="005E2327" w:rsidRDefault="0015382F" w:rsidP="0015382F">
      <w:pPr>
        <w:autoSpaceDE w:val="0"/>
        <w:autoSpaceDN w:val="0"/>
        <w:adjustRightInd w:val="0"/>
        <w:rPr>
          <w:rFonts w:asciiTheme="minorHAnsi" w:hAnsiTheme="minorHAnsi" w:cs="Arial"/>
        </w:rPr>
      </w:pPr>
    </w:p>
    <w:p w:rsidR="00CC19E9" w:rsidRDefault="00264BFB" w:rsidP="00264BFB">
      <w:pPr>
        <w:autoSpaceDE w:val="0"/>
        <w:autoSpaceDN w:val="0"/>
        <w:adjustRightInd w:val="0"/>
        <w:rPr>
          <w:rFonts w:asciiTheme="minorHAnsi" w:hAnsiTheme="minorHAnsi" w:cs="Arial"/>
        </w:rPr>
      </w:pPr>
      <w:r w:rsidRPr="00264BFB">
        <w:rPr>
          <w:rFonts w:asciiTheme="minorHAnsi" w:hAnsiTheme="minorHAnsi" w:cs="Arial"/>
        </w:rPr>
        <w:t>External complaints usually arise because of dissatisfaction with the service provided by Te Kura or</w:t>
      </w:r>
      <w:r>
        <w:rPr>
          <w:rFonts w:asciiTheme="minorHAnsi" w:hAnsiTheme="minorHAnsi" w:cs="Arial"/>
        </w:rPr>
        <w:t xml:space="preserve"> </w:t>
      </w:r>
      <w:r w:rsidRPr="00264BFB">
        <w:rPr>
          <w:rFonts w:asciiTheme="minorHAnsi" w:hAnsiTheme="minorHAnsi" w:cs="Arial"/>
        </w:rPr>
        <w:t xml:space="preserve">because of disagreement with actions or decisions taken by Te Kura. </w:t>
      </w:r>
    </w:p>
    <w:p w:rsidR="00CC19E9" w:rsidRDefault="00CC19E9" w:rsidP="00264BFB">
      <w:pPr>
        <w:autoSpaceDE w:val="0"/>
        <w:autoSpaceDN w:val="0"/>
        <w:adjustRightInd w:val="0"/>
        <w:rPr>
          <w:rFonts w:asciiTheme="minorHAnsi" w:hAnsiTheme="minorHAnsi" w:cs="Arial"/>
        </w:rPr>
      </w:pPr>
    </w:p>
    <w:p w:rsidR="00CC19E9" w:rsidRPr="00CC19E9" w:rsidRDefault="00CC19E9" w:rsidP="00CC19E9">
      <w:pPr>
        <w:autoSpaceDE w:val="0"/>
        <w:autoSpaceDN w:val="0"/>
        <w:adjustRightInd w:val="0"/>
        <w:rPr>
          <w:rFonts w:asciiTheme="minorHAnsi" w:hAnsiTheme="minorHAnsi" w:cs="Arial"/>
        </w:rPr>
      </w:pPr>
      <w:r w:rsidRPr="00CC19E9">
        <w:rPr>
          <w:rFonts w:asciiTheme="minorHAnsi" w:hAnsiTheme="minorHAnsi" w:cs="Arial"/>
        </w:rPr>
        <w:t xml:space="preserve">Te Kura </w:t>
      </w:r>
      <w:r w:rsidR="0015382F">
        <w:rPr>
          <w:rFonts w:asciiTheme="minorHAnsi" w:hAnsiTheme="minorHAnsi" w:cs="Arial"/>
        </w:rPr>
        <w:t>employees</w:t>
      </w:r>
      <w:r w:rsidRPr="00CC19E9">
        <w:rPr>
          <w:rFonts w:asciiTheme="minorHAnsi" w:hAnsiTheme="minorHAnsi" w:cs="Arial"/>
        </w:rPr>
        <w:t xml:space="preserve"> have the right to complain about and seek resolution of concerns about Te Kura</w:t>
      </w:r>
      <w:r w:rsidR="0015382F">
        <w:rPr>
          <w:rFonts w:asciiTheme="minorHAnsi" w:hAnsiTheme="minorHAnsi" w:cs="Arial"/>
        </w:rPr>
        <w:t xml:space="preserve"> </w:t>
      </w:r>
      <w:r w:rsidRPr="00CC19E9">
        <w:rPr>
          <w:rFonts w:asciiTheme="minorHAnsi" w:hAnsiTheme="minorHAnsi" w:cs="Arial"/>
        </w:rPr>
        <w:t>decisions or actions that affect them, interpersonal conflicts with other staff, or issues such as</w:t>
      </w:r>
      <w:r>
        <w:rPr>
          <w:rFonts w:asciiTheme="minorHAnsi" w:hAnsiTheme="minorHAnsi" w:cs="Arial"/>
        </w:rPr>
        <w:t xml:space="preserve"> </w:t>
      </w:r>
      <w:r w:rsidRPr="00CC19E9">
        <w:rPr>
          <w:rFonts w:asciiTheme="minorHAnsi" w:hAnsiTheme="minorHAnsi" w:cs="Arial"/>
        </w:rPr>
        <w:t>harassment and bullying.</w:t>
      </w:r>
    </w:p>
    <w:p w:rsidR="00CC19E9" w:rsidRPr="00B061C5" w:rsidRDefault="00CC19E9" w:rsidP="00264BFB">
      <w:pPr>
        <w:autoSpaceDE w:val="0"/>
        <w:autoSpaceDN w:val="0"/>
        <w:adjustRightInd w:val="0"/>
        <w:rPr>
          <w:rFonts w:asciiTheme="minorHAnsi" w:hAnsiTheme="minorHAnsi" w:cs="Arial"/>
          <w:szCs w:val="22"/>
        </w:rPr>
      </w:pPr>
    </w:p>
    <w:p w:rsidR="00CC19E9" w:rsidRPr="00CC19E9" w:rsidRDefault="00264BFB" w:rsidP="00CC19E9">
      <w:pPr>
        <w:autoSpaceDE w:val="0"/>
        <w:autoSpaceDN w:val="0"/>
        <w:adjustRightInd w:val="0"/>
        <w:rPr>
          <w:rFonts w:asciiTheme="minorHAnsi" w:hAnsiTheme="minorHAnsi" w:cs="Arial"/>
        </w:rPr>
      </w:pPr>
      <w:r w:rsidRPr="00264BFB">
        <w:rPr>
          <w:rFonts w:asciiTheme="minorHAnsi" w:hAnsiTheme="minorHAnsi" w:cs="Arial"/>
        </w:rPr>
        <w:t xml:space="preserve">For general information on dealing with complaints made by either a person outside Te Kura or by a Te Kura staff member refer to the </w:t>
      </w:r>
      <w:r w:rsidRPr="00264BFB">
        <w:rPr>
          <w:rFonts w:asciiTheme="minorHAnsi" w:hAnsiTheme="minorHAnsi" w:cs="Arial"/>
          <w:i/>
        </w:rPr>
        <w:t>Procedures for dealing with complaints about Te Kura policy, systems, services, processes</w:t>
      </w:r>
      <w:r w:rsidRPr="00264BFB">
        <w:rPr>
          <w:rFonts w:asciiTheme="minorHAnsi" w:hAnsiTheme="minorHAnsi" w:cs="Arial"/>
        </w:rPr>
        <w:t xml:space="preserve">. For complaints relating to the conduct or behaviour of a Te Kura employee, refer to the </w:t>
      </w:r>
      <w:r w:rsidRPr="00264BFB">
        <w:rPr>
          <w:rFonts w:asciiTheme="minorHAnsi" w:hAnsiTheme="minorHAnsi" w:cs="Arial"/>
          <w:i/>
        </w:rPr>
        <w:t>Procedures for dealing with complaints about staff</w:t>
      </w:r>
      <w:r w:rsidRPr="00264BFB">
        <w:rPr>
          <w:rFonts w:asciiTheme="minorHAnsi" w:hAnsiTheme="minorHAnsi" w:cs="Arial"/>
        </w:rPr>
        <w:t xml:space="preserve">. </w:t>
      </w:r>
      <w:r w:rsidR="00CC19E9">
        <w:rPr>
          <w:rFonts w:asciiTheme="minorHAnsi" w:hAnsiTheme="minorHAnsi" w:cs="Arial"/>
        </w:rPr>
        <w:t>Processes for dealing with internal i</w:t>
      </w:r>
      <w:r w:rsidR="00CC19E9" w:rsidRPr="00CC19E9">
        <w:rPr>
          <w:rFonts w:asciiTheme="minorHAnsi" w:hAnsiTheme="minorHAnsi" w:cs="Arial"/>
        </w:rPr>
        <w:t>ssues such as</w:t>
      </w:r>
      <w:r w:rsidR="00CC19E9">
        <w:rPr>
          <w:rFonts w:asciiTheme="minorHAnsi" w:hAnsiTheme="minorHAnsi" w:cs="Arial"/>
        </w:rPr>
        <w:t xml:space="preserve"> </w:t>
      </w:r>
      <w:r w:rsidR="00CC19E9" w:rsidRPr="00CC19E9">
        <w:rPr>
          <w:rFonts w:asciiTheme="minorHAnsi" w:hAnsiTheme="minorHAnsi" w:cs="Arial"/>
        </w:rPr>
        <w:t>harassment and bullying</w:t>
      </w:r>
      <w:r w:rsidR="00CC19E9">
        <w:rPr>
          <w:rFonts w:asciiTheme="minorHAnsi" w:hAnsiTheme="minorHAnsi" w:cs="Arial"/>
        </w:rPr>
        <w:t xml:space="preserve"> are provided in the staff procedures on </w:t>
      </w:r>
      <w:r w:rsidR="00CC19E9" w:rsidRPr="00CC19E9">
        <w:rPr>
          <w:rFonts w:asciiTheme="minorHAnsi" w:hAnsiTheme="minorHAnsi" w:cs="Arial"/>
          <w:i/>
        </w:rPr>
        <w:t>Reporting Discrimination and Harassment</w:t>
      </w:r>
      <w:r w:rsidR="00CC19E9" w:rsidRPr="00CC19E9">
        <w:rPr>
          <w:rFonts w:asciiTheme="minorHAnsi" w:hAnsiTheme="minorHAnsi" w:cs="Arial"/>
        </w:rPr>
        <w:t>.</w:t>
      </w:r>
      <w:r w:rsidR="00C57C47">
        <w:rPr>
          <w:rFonts w:asciiTheme="minorHAnsi" w:hAnsiTheme="minorHAnsi" w:cs="Arial"/>
        </w:rPr>
        <w:t xml:space="preserve"> </w:t>
      </w:r>
      <w:r w:rsidR="00C57C47" w:rsidRPr="0015382F">
        <w:rPr>
          <w:rFonts w:asciiTheme="minorHAnsi" w:hAnsiTheme="minorHAnsi" w:cs="Arial"/>
        </w:rPr>
        <w:t xml:space="preserve">For more information, refer to those documents on the intranet’s </w:t>
      </w:r>
      <w:hyperlink r:id="rId7" w:history="1">
        <w:r w:rsidR="00C57C47" w:rsidRPr="00C57C47">
          <w:rPr>
            <w:rStyle w:val="Hyperlink"/>
            <w:rFonts w:asciiTheme="minorHAnsi" w:hAnsiTheme="minorHAnsi" w:cs="Arial"/>
          </w:rPr>
          <w:t>Policy framework</w:t>
        </w:r>
      </w:hyperlink>
      <w:r w:rsidR="00C57C47" w:rsidRPr="0015382F">
        <w:rPr>
          <w:rFonts w:asciiTheme="minorHAnsi" w:hAnsiTheme="minorHAnsi" w:cs="Arial"/>
        </w:rPr>
        <w:t xml:space="preserve"> page.</w:t>
      </w:r>
    </w:p>
    <w:p w:rsidR="0049312E" w:rsidRPr="00B061C5" w:rsidRDefault="0049312E" w:rsidP="00B061C5">
      <w:pPr>
        <w:autoSpaceDE w:val="0"/>
        <w:autoSpaceDN w:val="0"/>
        <w:adjustRightInd w:val="0"/>
        <w:rPr>
          <w:rFonts w:asciiTheme="minorHAnsi" w:hAnsiTheme="minorHAnsi" w:cs="Arial"/>
          <w:szCs w:val="22"/>
        </w:rPr>
      </w:pPr>
    </w:p>
    <w:p w:rsidR="0049312E" w:rsidRPr="0049312E" w:rsidRDefault="0049312E" w:rsidP="0049312E">
      <w:pPr>
        <w:pStyle w:val="BOTHeading2"/>
        <w:rPr>
          <w:rFonts w:asciiTheme="minorHAnsi" w:hAnsiTheme="minorHAnsi"/>
          <w:color w:val="auto"/>
        </w:rPr>
      </w:pPr>
      <w:r w:rsidRPr="0049312E">
        <w:rPr>
          <w:rFonts w:asciiTheme="minorHAnsi" w:hAnsiTheme="minorHAnsi"/>
          <w:color w:val="auto"/>
        </w:rPr>
        <w:t>Definition</w:t>
      </w:r>
    </w:p>
    <w:p w:rsidR="0049312E" w:rsidRPr="002E7A7D" w:rsidRDefault="00FE435B" w:rsidP="0049312E">
      <w:pPr>
        <w:rPr>
          <w:rFonts w:ascii="Calibri" w:hAnsi="Calibri"/>
        </w:rPr>
      </w:pPr>
      <w:r w:rsidRPr="00FE435B">
        <w:rPr>
          <w:rFonts w:ascii="Calibri" w:hAnsi="Calibri"/>
          <w:b/>
        </w:rPr>
        <w:t>Serious c</w:t>
      </w:r>
      <w:r w:rsidR="00B62DC7" w:rsidRPr="00FE435B">
        <w:rPr>
          <w:rFonts w:ascii="Calibri" w:hAnsi="Calibri"/>
          <w:b/>
        </w:rPr>
        <w:t>omplaint</w:t>
      </w:r>
      <w:r w:rsidRPr="00FE435B">
        <w:rPr>
          <w:rFonts w:ascii="Calibri" w:hAnsi="Calibri"/>
          <w:b/>
        </w:rPr>
        <w:t>s</w:t>
      </w:r>
      <w:r w:rsidR="00B62DC7" w:rsidRPr="00B62DC7">
        <w:rPr>
          <w:rFonts w:ascii="Calibri" w:hAnsi="Calibri"/>
        </w:rPr>
        <w:t xml:space="preserve"> </w:t>
      </w:r>
      <w:r>
        <w:rPr>
          <w:rFonts w:ascii="Calibri" w:hAnsi="Calibri"/>
        </w:rPr>
        <w:t xml:space="preserve">will be those which </w:t>
      </w:r>
      <w:r w:rsidR="0049312E" w:rsidRPr="002E7A7D">
        <w:rPr>
          <w:rFonts w:ascii="Calibri" w:hAnsi="Calibri"/>
        </w:rPr>
        <w:t>include any of the following types</w:t>
      </w:r>
      <w:r w:rsidR="0049312E">
        <w:rPr>
          <w:rFonts w:ascii="Calibri" w:hAnsi="Calibri"/>
        </w:rPr>
        <w:t xml:space="preserve"> </w:t>
      </w:r>
      <w:r w:rsidR="00B62DC7">
        <w:rPr>
          <w:rFonts w:ascii="Calibri" w:hAnsi="Calibri"/>
        </w:rPr>
        <w:t xml:space="preserve">of wrongdoing </w:t>
      </w:r>
      <w:r w:rsidR="0049312E">
        <w:rPr>
          <w:rFonts w:ascii="Calibri" w:hAnsi="Calibri"/>
        </w:rPr>
        <w:t>which may affect Te Kura</w:t>
      </w:r>
      <w:r w:rsidR="0049312E" w:rsidRPr="002E7A7D">
        <w:rPr>
          <w:rFonts w:ascii="Calibri" w:hAnsi="Calibri"/>
        </w:rPr>
        <w:t>:</w:t>
      </w:r>
    </w:p>
    <w:p w:rsidR="0049312E" w:rsidRPr="002E7A7D" w:rsidRDefault="0049312E" w:rsidP="0049312E">
      <w:pPr>
        <w:rPr>
          <w:rFonts w:ascii="Calibri" w:hAnsi="Calibri"/>
        </w:rPr>
      </w:pPr>
    </w:p>
    <w:p w:rsidR="0049312E" w:rsidRPr="002E7A7D" w:rsidRDefault="0049312E" w:rsidP="0049312E">
      <w:pPr>
        <w:numPr>
          <w:ilvl w:val="0"/>
          <w:numId w:val="19"/>
        </w:numPr>
        <w:rPr>
          <w:rFonts w:ascii="Calibri" w:hAnsi="Calibri"/>
          <w:szCs w:val="22"/>
        </w:rPr>
      </w:pPr>
      <w:r w:rsidRPr="002E7A7D">
        <w:rPr>
          <w:rFonts w:ascii="Calibri" w:hAnsi="Calibri"/>
          <w:szCs w:val="22"/>
        </w:rPr>
        <w:t>An un</w:t>
      </w:r>
      <w:r w:rsidRPr="002E7A7D">
        <w:rPr>
          <w:rFonts w:ascii="Calibri" w:hAnsi="Calibri"/>
          <w:szCs w:val="22"/>
          <w:lang w:val="en-NZ"/>
        </w:rPr>
        <w:t>lawful, corrupt, or irregular use of the funds or resources of Te Kura; or</w:t>
      </w:r>
    </w:p>
    <w:p w:rsidR="0049312E" w:rsidRPr="002E7A7D" w:rsidRDefault="0049312E" w:rsidP="0049312E">
      <w:pPr>
        <w:numPr>
          <w:ilvl w:val="0"/>
          <w:numId w:val="19"/>
        </w:numPr>
        <w:rPr>
          <w:rFonts w:ascii="Calibri" w:hAnsi="Calibri"/>
          <w:szCs w:val="22"/>
          <w:lang w:val="en-NZ"/>
        </w:rPr>
      </w:pPr>
      <w:r w:rsidRPr="002E7A7D">
        <w:rPr>
          <w:rFonts w:ascii="Calibri" w:hAnsi="Calibri"/>
          <w:szCs w:val="22"/>
          <w:lang w:val="en-NZ"/>
        </w:rPr>
        <w:t>An act, omission, or course of conduct that constitutes a serious risk to public health or public safety or the environment; or</w:t>
      </w:r>
    </w:p>
    <w:p w:rsidR="0049312E" w:rsidRPr="002E7A7D" w:rsidRDefault="0049312E" w:rsidP="0049312E">
      <w:pPr>
        <w:numPr>
          <w:ilvl w:val="0"/>
          <w:numId w:val="19"/>
        </w:numPr>
        <w:rPr>
          <w:rFonts w:ascii="Calibri" w:hAnsi="Calibri"/>
          <w:szCs w:val="22"/>
          <w:lang w:val="en-NZ"/>
        </w:rPr>
      </w:pPr>
      <w:r w:rsidRPr="002E7A7D">
        <w:rPr>
          <w:rFonts w:ascii="Calibri" w:hAnsi="Calibri"/>
          <w:szCs w:val="22"/>
          <w:lang w:val="en-NZ"/>
        </w:rPr>
        <w:t>An act, omission, or course of conduct that constitutes a serious risk to the maintenance of law, including the prevention, investigation, and detection of offences and the right to a fair trial; or</w:t>
      </w:r>
    </w:p>
    <w:p w:rsidR="0049312E" w:rsidRPr="002E7A7D" w:rsidRDefault="0049312E" w:rsidP="0049312E">
      <w:pPr>
        <w:numPr>
          <w:ilvl w:val="0"/>
          <w:numId w:val="19"/>
        </w:numPr>
        <w:rPr>
          <w:rFonts w:ascii="Calibri" w:hAnsi="Calibri"/>
          <w:szCs w:val="22"/>
          <w:lang w:val="en-NZ"/>
        </w:rPr>
      </w:pPr>
      <w:r w:rsidRPr="002E7A7D">
        <w:rPr>
          <w:rFonts w:ascii="Calibri" w:hAnsi="Calibri"/>
          <w:szCs w:val="22"/>
          <w:lang w:val="en-NZ"/>
        </w:rPr>
        <w:t>An act, omission, or course of conduct that constitutes an offence; or</w:t>
      </w:r>
    </w:p>
    <w:p w:rsidR="0049312E" w:rsidRPr="002E7A7D" w:rsidRDefault="0049312E" w:rsidP="0049312E">
      <w:pPr>
        <w:numPr>
          <w:ilvl w:val="0"/>
          <w:numId w:val="19"/>
        </w:numPr>
        <w:rPr>
          <w:rFonts w:ascii="Calibri" w:hAnsi="Calibri"/>
          <w:szCs w:val="22"/>
          <w:lang w:val="en-NZ"/>
        </w:rPr>
      </w:pPr>
      <w:r w:rsidRPr="002E7A7D">
        <w:rPr>
          <w:rFonts w:ascii="Calibri" w:hAnsi="Calibri"/>
          <w:szCs w:val="22"/>
          <w:lang w:val="en-NZ"/>
        </w:rPr>
        <w:lastRenderedPageBreak/>
        <w:t>An act, omission, or course of conduct by Te Kura (or any employee) or the Board (or any member of the Board) that is oppressive, improperly discriminatory, or grossly negligent, or that constitutes gross mismanagement.</w:t>
      </w:r>
    </w:p>
    <w:p w:rsidR="00D15F69" w:rsidRPr="009B7FC6" w:rsidRDefault="00D15F69" w:rsidP="009B7FC6">
      <w:pPr>
        <w:autoSpaceDE w:val="0"/>
        <w:autoSpaceDN w:val="0"/>
        <w:adjustRightInd w:val="0"/>
        <w:rPr>
          <w:rFonts w:asciiTheme="minorHAnsi" w:hAnsiTheme="minorHAnsi" w:cs="Arial"/>
          <w:szCs w:val="22"/>
        </w:rPr>
      </w:pPr>
    </w:p>
    <w:p w:rsidR="00CC1785" w:rsidRPr="00C85EA8" w:rsidRDefault="004159D4" w:rsidP="00CC1785">
      <w:pPr>
        <w:pStyle w:val="BOTHeading2"/>
        <w:rPr>
          <w:rFonts w:asciiTheme="minorHAnsi" w:hAnsiTheme="minorHAnsi"/>
          <w:color w:val="auto"/>
        </w:rPr>
      </w:pPr>
      <w:r w:rsidRPr="00C85EA8">
        <w:rPr>
          <w:rFonts w:asciiTheme="minorHAnsi" w:hAnsiTheme="minorHAnsi"/>
          <w:color w:val="auto"/>
        </w:rPr>
        <w:t>Policy statement</w:t>
      </w:r>
    </w:p>
    <w:p w:rsidR="00C85EA8" w:rsidRDefault="00CC1785" w:rsidP="0015382F">
      <w:pPr>
        <w:autoSpaceDE w:val="0"/>
        <w:autoSpaceDN w:val="0"/>
        <w:adjustRightInd w:val="0"/>
        <w:rPr>
          <w:rFonts w:asciiTheme="minorHAnsi" w:hAnsiTheme="minorHAnsi"/>
        </w:rPr>
      </w:pPr>
      <w:r w:rsidRPr="00C85EA8">
        <w:rPr>
          <w:rFonts w:asciiTheme="minorHAnsi" w:hAnsiTheme="minorHAnsi"/>
        </w:rPr>
        <w:t>T</w:t>
      </w:r>
      <w:r w:rsidR="0015382F">
        <w:rPr>
          <w:rFonts w:asciiTheme="minorHAnsi" w:hAnsiTheme="minorHAnsi"/>
        </w:rPr>
        <w:t>e Kura</w:t>
      </w:r>
      <w:r w:rsidRPr="00C85EA8">
        <w:rPr>
          <w:rFonts w:asciiTheme="minorHAnsi" w:hAnsiTheme="minorHAnsi"/>
        </w:rPr>
        <w:t xml:space="preserve"> will have procedures</w:t>
      </w:r>
      <w:r w:rsidR="001E30BC" w:rsidRPr="00C85EA8">
        <w:rPr>
          <w:rFonts w:asciiTheme="minorHAnsi" w:hAnsiTheme="minorHAnsi"/>
        </w:rPr>
        <w:t xml:space="preserve"> </w:t>
      </w:r>
      <w:r w:rsidRPr="00C85EA8">
        <w:rPr>
          <w:rFonts w:asciiTheme="minorHAnsi" w:hAnsiTheme="minorHAnsi"/>
        </w:rPr>
        <w:t>in place t</w:t>
      </w:r>
      <w:r w:rsidR="005F486D" w:rsidRPr="00C85EA8">
        <w:rPr>
          <w:rFonts w:asciiTheme="minorHAnsi" w:hAnsiTheme="minorHAnsi"/>
        </w:rPr>
        <w:t xml:space="preserve">o respond to external and internal complaints received relating to employees of Te Kura and to </w:t>
      </w:r>
      <w:r w:rsidR="00C85EA8" w:rsidRPr="00C85EA8">
        <w:rPr>
          <w:rFonts w:asciiTheme="minorHAnsi" w:hAnsiTheme="minorHAnsi"/>
        </w:rPr>
        <w:t>T</w:t>
      </w:r>
      <w:r w:rsidR="005F486D" w:rsidRPr="00C85EA8">
        <w:rPr>
          <w:rFonts w:asciiTheme="minorHAnsi" w:hAnsiTheme="minorHAnsi"/>
        </w:rPr>
        <w:t xml:space="preserve">e Kura </w:t>
      </w:r>
      <w:r w:rsidR="00C85EA8" w:rsidRPr="00C85EA8">
        <w:rPr>
          <w:rFonts w:asciiTheme="minorHAnsi" w:hAnsiTheme="minorHAnsi"/>
        </w:rPr>
        <w:t>policy, systems, services and processes.</w:t>
      </w:r>
    </w:p>
    <w:p w:rsidR="0015382F" w:rsidRPr="00B061C5" w:rsidRDefault="0015382F" w:rsidP="00B061C5">
      <w:pPr>
        <w:autoSpaceDE w:val="0"/>
        <w:autoSpaceDN w:val="0"/>
        <w:adjustRightInd w:val="0"/>
        <w:rPr>
          <w:rFonts w:asciiTheme="minorHAnsi" w:hAnsiTheme="minorHAnsi" w:cs="Arial"/>
          <w:szCs w:val="22"/>
        </w:rPr>
      </w:pPr>
    </w:p>
    <w:p w:rsidR="00C85EA8" w:rsidRPr="00C85EA8" w:rsidRDefault="00C85EA8" w:rsidP="00C85EA8">
      <w:pPr>
        <w:pStyle w:val="BOTHeading2"/>
        <w:rPr>
          <w:rFonts w:asciiTheme="minorHAnsi" w:hAnsiTheme="minorHAnsi"/>
          <w:color w:val="auto"/>
        </w:rPr>
      </w:pPr>
      <w:r w:rsidRPr="00C85EA8">
        <w:rPr>
          <w:rFonts w:asciiTheme="minorHAnsi" w:hAnsiTheme="minorHAnsi"/>
          <w:color w:val="auto"/>
        </w:rPr>
        <w:t>Principles</w:t>
      </w:r>
    </w:p>
    <w:p w:rsidR="004C5F12" w:rsidRDefault="004C5F12" w:rsidP="004C5F12">
      <w:pPr>
        <w:pStyle w:val="ListParagraph"/>
        <w:numPr>
          <w:ilvl w:val="0"/>
          <w:numId w:val="6"/>
        </w:numPr>
        <w:spacing w:before="140" w:after="140"/>
        <w:rPr>
          <w:rFonts w:asciiTheme="minorHAnsi" w:hAnsiTheme="minorHAnsi"/>
          <w:szCs w:val="22"/>
          <w:lang w:val="en-NZ"/>
        </w:rPr>
      </w:pPr>
      <w:r w:rsidRPr="004C5F12">
        <w:rPr>
          <w:rFonts w:asciiTheme="minorHAnsi" w:hAnsiTheme="minorHAnsi"/>
          <w:szCs w:val="22"/>
          <w:lang w:val="en-NZ"/>
        </w:rPr>
        <w:t>All complaints will be dealt with thoroughly in an impartial and timely manner and the complainant will be treated with respect and courtesy.</w:t>
      </w:r>
    </w:p>
    <w:p w:rsidR="004C5F12" w:rsidRPr="004C5F12" w:rsidRDefault="004C5F12" w:rsidP="004C5F12">
      <w:pPr>
        <w:pStyle w:val="ListParagraph"/>
        <w:numPr>
          <w:ilvl w:val="0"/>
          <w:numId w:val="6"/>
        </w:numPr>
        <w:spacing w:before="140" w:after="140"/>
        <w:rPr>
          <w:rFonts w:asciiTheme="minorHAnsi" w:hAnsiTheme="minorHAnsi"/>
          <w:szCs w:val="22"/>
          <w:lang w:val="en-NZ"/>
        </w:rPr>
      </w:pPr>
      <w:r w:rsidRPr="004C5F12">
        <w:rPr>
          <w:rFonts w:asciiTheme="minorHAnsi" w:hAnsiTheme="minorHAnsi"/>
          <w:szCs w:val="22"/>
          <w:lang w:val="en-NZ"/>
        </w:rPr>
        <w:t>Te Kura aims to achieve resolution at the lowest level possible and will take a straightforward, practical approach to managing and resolving low-level complaints.</w:t>
      </w:r>
    </w:p>
    <w:p w:rsidR="00C85EA8" w:rsidRPr="00764F80" w:rsidRDefault="00C85EA8" w:rsidP="00C85EA8">
      <w:pPr>
        <w:pStyle w:val="ListParagraph"/>
        <w:numPr>
          <w:ilvl w:val="0"/>
          <w:numId w:val="6"/>
        </w:numPr>
        <w:spacing w:before="140" w:after="140"/>
        <w:rPr>
          <w:rFonts w:asciiTheme="minorHAnsi" w:hAnsiTheme="minorHAnsi"/>
          <w:szCs w:val="22"/>
          <w:lang w:val="en-NZ"/>
        </w:rPr>
      </w:pPr>
      <w:r w:rsidRPr="00764F80">
        <w:rPr>
          <w:rFonts w:asciiTheme="minorHAnsi" w:hAnsiTheme="minorHAnsi"/>
          <w:szCs w:val="22"/>
          <w:lang w:val="en-NZ"/>
        </w:rPr>
        <w:t xml:space="preserve">Complainants and Te Kura employees with responsibility for the subject of </w:t>
      </w:r>
      <w:r w:rsidR="0015382F">
        <w:rPr>
          <w:rFonts w:asciiTheme="minorHAnsi" w:hAnsiTheme="minorHAnsi"/>
          <w:szCs w:val="22"/>
          <w:lang w:val="en-NZ"/>
        </w:rPr>
        <w:t>a</w:t>
      </w:r>
      <w:r w:rsidRPr="00764F80">
        <w:rPr>
          <w:rFonts w:asciiTheme="minorHAnsi" w:hAnsiTheme="minorHAnsi"/>
          <w:szCs w:val="22"/>
          <w:lang w:val="en-NZ"/>
        </w:rPr>
        <w:t xml:space="preserve"> complaint will be kept fully informed and advised of the outcome of the complaint and the reasons for any decisions.</w:t>
      </w:r>
    </w:p>
    <w:p w:rsidR="00C85EA8" w:rsidRPr="00764F80" w:rsidRDefault="00C85EA8" w:rsidP="00C85EA8">
      <w:pPr>
        <w:pStyle w:val="ListParagraph"/>
        <w:numPr>
          <w:ilvl w:val="0"/>
          <w:numId w:val="6"/>
        </w:numPr>
        <w:spacing w:before="140" w:after="140"/>
        <w:rPr>
          <w:rFonts w:asciiTheme="minorHAnsi" w:hAnsiTheme="minorHAnsi"/>
          <w:szCs w:val="22"/>
          <w:lang w:val="en-NZ"/>
        </w:rPr>
      </w:pPr>
      <w:r w:rsidRPr="00764F80">
        <w:rPr>
          <w:rFonts w:asciiTheme="minorHAnsi" w:hAnsiTheme="minorHAnsi"/>
          <w:szCs w:val="22"/>
          <w:lang w:val="en-NZ"/>
        </w:rPr>
        <w:t xml:space="preserve">Te Kura will apply the principles of natural justice at all stages of any inquiry, including maintaining the privacy of those involved, where practicable, subject to the requirements of the Privacy Act 1993. </w:t>
      </w:r>
    </w:p>
    <w:p w:rsidR="004C5F12" w:rsidRPr="004C5F12" w:rsidRDefault="004C5F12" w:rsidP="004C5F12">
      <w:pPr>
        <w:pStyle w:val="ListParagraph"/>
        <w:numPr>
          <w:ilvl w:val="0"/>
          <w:numId w:val="6"/>
        </w:numPr>
        <w:spacing w:before="140" w:after="140"/>
        <w:rPr>
          <w:rFonts w:asciiTheme="minorHAnsi" w:hAnsiTheme="minorHAnsi"/>
          <w:szCs w:val="22"/>
          <w:lang w:val="en-NZ"/>
        </w:rPr>
      </w:pPr>
      <w:r w:rsidRPr="004C5F12">
        <w:rPr>
          <w:rFonts w:asciiTheme="minorHAnsi" w:hAnsiTheme="minorHAnsi"/>
          <w:szCs w:val="22"/>
          <w:lang w:val="en-NZ"/>
        </w:rPr>
        <w:t>No party who could reasonably be perceived as having an interest in the outcome of the complaint will investigate a complaint or determine the outcome of the inquiry.</w:t>
      </w:r>
    </w:p>
    <w:p w:rsidR="00C85EA8" w:rsidRPr="00764F80" w:rsidRDefault="00C85EA8" w:rsidP="00C85EA8">
      <w:pPr>
        <w:pStyle w:val="ListParagraph"/>
        <w:numPr>
          <w:ilvl w:val="0"/>
          <w:numId w:val="6"/>
        </w:numPr>
        <w:spacing w:before="140" w:after="140"/>
        <w:rPr>
          <w:rFonts w:asciiTheme="minorHAnsi" w:hAnsiTheme="minorHAnsi"/>
          <w:szCs w:val="22"/>
          <w:lang w:val="en-NZ"/>
        </w:rPr>
      </w:pPr>
      <w:r w:rsidRPr="00764F80">
        <w:rPr>
          <w:rFonts w:asciiTheme="minorHAnsi" w:hAnsiTheme="minorHAnsi"/>
          <w:szCs w:val="22"/>
          <w:lang w:val="en-NZ"/>
        </w:rPr>
        <w:t>In conducting complaints investigations Te Kura will ensure compliance with all relevant legislative/contractual provisions and employees’ employment agreements.</w:t>
      </w:r>
    </w:p>
    <w:p w:rsidR="0074723C" w:rsidRPr="0074723C" w:rsidRDefault="0074723C" w:rsidP="00C85EA8">
      <w:pPr>
        <w:pStyle w:val="ListParagraph"/>
        <w:numPr>
          <w:ilvl w:val="0"/>
          <w:numId w:val="6"/>
        </w:numPr>
        <w:spacing w:before="140" w:after="140"/>
        <w:rPr>
          <w:rFonts w:asciiTheme="minorHAnsi" w:hAnsiTheme="minorHAnsi"/>
          <w:szCs w:val="22"/>
          <w:lang w:val="en-NZ"/>
        </w:rPr>
      </w:pPr>
      <w:r w:rsidRPr="0074723C">
        <w:rPr>
          <w:rFonts w:asciiTheme="minorHAnsi" w:hAnsiTheme="minorHAnsi" w:cs="Arial"/>
          <w:szCs w:val="22"/>
        </w:rPr>
        <w:t xml:space="preserve">Te Kura is open to learning from </w:t>
      </w:r>
      <w:r>
        <w:rPr>
          <w:rFonts w:asciiTheme="minorHAnsi" w:hAnsiTheme="minorHAnsi" w:cs="Arial"/>
          <w:szCs w:val="22"/>
        </w:rPr>
        <w:t>any complaint</w:t>
      </w:r>
      <w:r w:rsidRPr="0074723C">
        <w:rPr>
          <w:rFonts w:asciiTheme="minorHAnsi" w:hAnsiTheme="minorHAnsi" w:cs="Arial"/>
          <w:szCs w:val="22"/>
        </w:rPr>
        <w:t xml:space="preserve"> resolution which identif</w:t>
      </w:r>
      <w:r>
        <w:rPr>
          <w:rFonts w:asciiTheme="minorHAnsi" w:hAnsiTheme="minorHAnsi" w:cs="Arial"/>
          <w:szCs w:val="22"/>
        </w:rPr>
        <w:t>ies</w:t>
      </w:r>
      <w:r w:rsidRPr="0074723C">
        <w:rPr>
          <w:rFonts w:asciiTheme="minorHAnsi" w:hAnsiTheme="minorHAnsi" w:cs="Arial"/>
          <w:szCs w:val="22"/>
        </w:rPr>
        <w:t xml:space="preserve"> opportunities for improving how the school operates in future.</w:t>
      </w:r>
    </w:p>
    <w:p w:rsidR="0074723C" w:rsidRDefault="0074723C" w:rsidP="0074723C">
      <w:pPr>
        <w:pStyle w:val="ListParagraph"/>
        <w:numPr>
          <w:ilvl w:val="0"/>
          <w:numId w:val="6"/>
        </w:numPr>
        <w:spacing w:before="140" w:after="140"/>
        <w:rPr>
          <w:rFonts w:asciiTheme="minorHAnsi" w:hAnsiTheme="minorHAnsi"/>
          <w:szCs w:val="22"/>
          <w:lang w:val="en-NZ"/>
        </w:rPr>
      </w:pPr>
      <w:r w:rsidRPr="00764F80">
        <w:rPr>
          <w:rFonts w:asciiTheme="minorHAnsi" w:hAnsiTheme="minorHAnsi"/>
          <w:szCs w:val="22"/>
          <w:lang w:val="en-NZ"/>
        </w:rPr>
        <w:t>Complaints deemed vexatious will not be progressed.</w:t>
      </w:r>
    </w:p>
    <w:p w:rsidR="0074723C" w:rsidRPr="00B061C5" w:rsidRDefault="0074723C" w:rsidP="00B061C5">
      <w:pPr>
        <w:autoSpaceDE w:val="0"/>
        <w:autoSpaceDN w:val="0"/>
        <w:adjustRightInd w:val="0"/>
        <w:rPr>
          <w:rFonts w:asciiTheme="minorHAnsi" w:hAnsiTheme="minorHAnsi" w:cs="Arial"/>
          <w:szCs w:val="22"/>
        </w:rPr>
      </w:pPr>
    </w:p>
    <w:p w:rsidR="000E1438" w:rsidRPr="000E1438" w:rsidRDefault="000E1438" w:rsidP="000E1438">
      <w:pPr>
        <w:autoSpaceDE w:val="0"/>
        <w:autoSpaceDN w:val="0"/>
        <w:adjustRightInd w:val="0"/>
        <w:rPr>
          <w:rFonts w:asciiTheme="minorHAnsi" w:hAnsiTheme="minorHAnsi" w:cs="Arial"/>
          <w:b/>
          <w:bCs/>
          <w:iCs/>
          <w:sz w:val="24"/>
        </w:rPr>
      </w:pPr>
      <w:r>
        <w:rPr>
          <w:rFonts w:asciiTheme="minorHAnsi" w:hAnsiTheme="minorHAnsi" w:cs="Arial"/>
          <w:b/>
          <w:bCs/>
          <w:iCs/>
          <w:sz w:val="24"/>
        </w:rPr>
        <w:t>Vexatious</w:t>
      </w:r>
      <w:r w:rsidRPr="000E1438">
        <w:rPr>
          <w:rFonts w:asciiTheme="minorHAnsi" w:hAnsiTheme="minorHAnsi" w:cs="Arial"/>
          <w:b/>
          <w:bCs/>
          <w:iCs/>
          <w:sz w:val="24"/>
        </w:rPr>
        <w:t xml:space="preserve"> complaints</w:t>
      </w:r>
    </w:p>
    <w:p w:rsidR="000E1438" w:rsidRDefault="000E1438" w:rsidP="000E1438">
      <w:pPr>
        <w:autoSpaceDE w:val="0"/>
        <w:autoSpaceDN w:val="0"/>
        <w:adjustRightInd w:val="0"/>
        <w:rPr>
          <w:rFonts w:asciiTheme="minorHAnsi" w:hAnsiTheme="minorHAnsi" w:cs="Arial"/>
          <w:szCs w:val="22"/>
        </w:rPr>
      </w:pPr>
      <w:r w:rsidRPr="000E1438">
        <w:rPr>
          <w:rFonts w:asciiTheme="minorHAnsi" w:hAnsiTheme="minorHAnsi" w:cs="Arial"/>
          <w:szCs w:val="22"/>
        </w:rPr>
        <w:t xml:space="preserve">There will be occasions when, despite all stages of the applicable procedures having been followed, the complainant remains dissatisfied. In such cases Te Kura may decide to no longer respond to issues that have already been dealt with. Where this is the case, a letter signed by the </w:t>
      </w:r>
      <w:r w:rsidR="00211263">
        <w:rPr>
          <w:rFonts w:asciiTheme="minorHAnsi" w:hAnsiTheme="minorHAnsi" w:cs="Arial"/>
          <w:szCs w:val="22"/>
        </w:rPr>
        <w:t xml:space="preserve">Board Chair and the </w:t>
      </w:r>
      <w:r w:rsidRPr="000E1438">
        <w:rPr>
          <w:rFonts w:asciiTheme="minorHAnsi" w:hAnsiTheme="minorHAnsi" w:cs="Arial"/>
          <w:szCs w:val="22"/>
        </w:rPr>
        <w:t xml:space="preserve">Chief Executive will be sent to the complainant advising that Te Kura will no longer respond to matters already considered and responded to. </w:t>
      </w:r>
    </w:p>
    <w:p w:rsidR="000E1438" w:rsidRDefault="000E1438" w:rsidP="000E1438">
      <w:pPr>
        <w:autoSpaceDE w:val="0"/>
        <w:autoSpaceDN w:val="0"/>
        <w:adjustRightInd w:val="0"/>
        <w:rPr>
          <w:rFonts w:asciiTheme="minorHAnsi" w:hAnsiTheme="minorHAnsi" w:cs="Arial"/>
          <w:szCs w:val="22"/>
        </w:rPr>
      </w:pPr>
    </w:p>
    <w:p w:rsidR="000E1438" w:rsidRPr="000E1438" w:rsidRDefault="000E1438" w:rsidP="000E1438">
      <w:pPr>
        <w:autoSpaceDE w:val="0"/>
        <w:autoSpaceDN w:val="0"/>
        <w:adjustRightInd w:val="0"/>
        <w:rPr>
          <w:rFonts w:asciiTheme="minorHAnsi" w:hAnsiTheme="minorHAnsi" w:cs="Arial"/>
          <w:szCs w:val="22"/>
        </w:rPr>
      </w:pPr>
      <w:r w:rsidRPr="000E1438">
        <w:rPr>
          <w:rFonts w:asciiTheme="minorHAnsi" w:hAnsiTheme="minorHAnsi" w:cs="Arial"/>
          <w:szCs w:val="22"/>
        </w:rPr>
        <w:t>However, if a vexatious complainant raises new issues which have not previously been dealt with, then Te Kura will consider and respond to those new issues.</w:t>
      </w:r>
    </w:p>
    <w:p w:rsidR="000E1438" w:rsidRPr="00B061C5" w:rsidRDefault="000E1438" w:rsidP="000E1438">
      <w:pPr>
        <w:autoSpaceDE w:val="0"/>
        <w:autoSpaceDN w:val="0"/>
        <w:adjustRightInd w:val="0"/>
        <w:rPr>
          <w:rFonts w:asciiTheme="minorHAnsi" w:hAnsiTheme="minorHAnsi" w:cs="Arial"/>
          <w:szCs w:val="22"/>
        </w:rPr>
      </w:pPr>
    </w:p>
    <w:p w:rsidR="00BB7917" w:rsidRPr="0015382F" w:rsidRDefault="00BB7917" w:rsidP="00E25165">
      <w:pPr>
        <w:autoSpaceDE w:val="0"/>
        <w:autoSpaceDN w:val="0"/>
        <w:adjustRightInd w:val="0"/>
        <w:rPr>
          <w:rFonts w:asciiTheme="minorHAnsi" w:hAnsiTheme="minorHAnsi" w:cs="Arial"/>
          <w:b/>
          <w:bCs/>
          <w:iCs/>
          <w:sz w:val="24"/>
        </w:rPr>
      </w:pPr>
      <w:r w:rsidRPr="0015382F">
        <w:rPr>
          <w:rFonts w:asciiTheme="minorHAnsi" w:hAnsiTheme="minorHAnsi" w:cs="Arial"/>
          <w:b/>
          <w:bCs/>
          <w:iCs/>
          <w:sz w:val="24"/>
        </w:rPr>
        <w:t>Anonymous complaints</w:t>
      </w:r>
    </w:p>
    <w:p w:rsidR="00B24BD9" w:rsidRPr="0015382F" w:rsidRDefault="00E25165" w:rsidP="00B24BD9">
      <w:pPr>
        <w:autoSpaceDE w:val="0"/>
        <w:autoSpaceDN w:val="0"/>
        <w:adjustRightInd w:val="0"/>
        <w:rPr>
          <w:rFonts w:asciiTheme="minorHAnsi" w:hAnsiTheme="minorHAnsi" w:cs="Arial"/>
        </w:rPr>
      </w:pPr>
      <w:r w:rsidRPr="0015382F">
        <w:rPr>
          <w:rFonts w:asciiTheme="minorHAnsi" w:hAnsiTheme="minorHAnsi" w:cs="Arial"/>
        </w:rPr>
        <w:t xml:space="preserve">Te Kura will generally not act on anonymous complaints unless the issues raised </w:t>
      </w:r>
      <w:r w:rsidR="00FE435B">
        <w:rPr>
          <w:rFonts w:asciiTheme="minorHAnsi" w:hAnsiTheme="minorHAnsi" w:cs="Arial"/>
        </w:rPr>
        <w:t>qualify the complaint as being</w:t>
      </w:r>
      <w:r w:rsidRPr="0015382F">
        <w:rPr>
          <w:rFonts w:asciiTheme="minorHAnsi" w:hAnsiTheme="minorHAnsi" w:cs="Arial"/>
        </w:rPr>
        <w:t xml:space="preserve"> serious</w:t>
      </w:r>
      <w:r w:rsidR="00B62DC7">
        <w:rPr>
          <w:rFonts w:asciiTheme="minorHAnsi" w:hAnsiTheme="minorHAnsi" w:cs="Arial"/>
        </w:rPr>
        <w:t>,</w:t>
      </w:r>
      <w:r w:rsidRPr="0015382F">
        <w:rPr>
          <w:rFonts w:asciiTheme="minorHAnsi" w:hAnsiTheme="minorHAnsi" w:cs="Arial"/>
        </w:rPr>
        <w:t xml:space="preserve"> </w:t>
      </w:r>
      <w:r w:rsidR="0049312E">
        <w:rPr>
          <w:rFonts w:asciiTheme="minorHAnsi" w:hAnsiTheme="minorHAnsi" w:cs="Arial"/>
        </w:rPr>
        <w:t xml:space="preserve">as defined </w:t>
      </w:r>
      <w:r w:rsidR="005E2327">
        <w:rPr>
          <w:rFonts w:asciiTheme="minorHAnsi" w:hAnsiTheme="minorHAnsi" w:cs="Arial"/>
        </w:rPr>
        <w:t>above,</w:t>
      </w:r>
      <w:r w:rsidR="0049312E">
        <w:rPr>
          <w:rFonts w:asciiTheme="minorHAnsi" w:hAnsiTheme="minorHAnsi" w:cs="Arial"/>
        </w:rPr>
        <w:t xml:space="preserve"> </w:t>
      </w:r>
      <w:r w:rsidRPr="0015382F">
        <w:rPr>
          <w:rFonts w:asciiTheme="minorHAnsi" w:hAnsiTheme="minorHAnsi" w:cs="Arial"/>
        </w:rPr>
        <w:t xml:space="preserve">and sufficient information is provided to warrant further inquiry into the allegations. </w:t>
      </w:r>
    </w:p>
    <w:p w:rsidR="0049312E" w:rsidRDefault="0049312E" w:rsidP="0015382F">
      <w:pPr>
        <w:autoSpaceDE w:val="0"/>
        <w:autoSpaceDN w:val="0"/>
        <w:adjustRightInd w:val="0"/>
        <w:rPr>
          <w:rFonts w:asciiTheme="minorHAnsi" w:hAnsiTheme="minorHAnsi" w:cs="Arial"/>
        </w:rPr>
      </w:pPr>
    </w:p>
    <w:p w:rsidR="00E25165" w:rsidRPr="0015382F" w:rsidRDefault="00E25165" w:rsidP="0015382F">
      <w:pPr>
        <w:autoSpaceDE w:val="0"/>
        <w:autoSpaceDN w:val="0"/>
        <w:adjustRightInd w:val="0"/>
        <w:rPr>
          <w:rFonts w:asciiTheme="minorHAnsi" w:hAnsiTheme="minorHAnsi" w:cs="Arial"/>
        </w:rPr>
      </w:pPr>
      <w:r w:rsidRPr="0015382F">
        <w:rPr>
          <w:rFonts w:asciiTheme="minorHAnsi" w:hAnsiTheme="minorHAnsi" w:cs="Arial"/>
        </w:rPr>
        <w:t>Te Kura cannot</w:t>
      </w:r>
      <w:r w:rsidRPr="0015382F">
        <w:rPr>
          <w:rFonts w:asciiTheme="minorHAnsi" w:hAnsiTheme="minorHAnsi" w:cs="Arial"/>
          <w:color w:val="333333"/>
        </w:rPr>
        <w:t xml:space="preserve"> </w:t>
      </w:r>
      <w:r w:rsidRPr="0015382F">
        <w:rPr>
          <w:rFonts w:asciiTheme="minorHAnsi" w:hAnsiTheme="minorHAnsi" w:cs="Arial"/>
        </w:rPr>
        <w:t>determine the validity and nature of the complaint when the source of the complaint is</w:t>
      </w:r>
      <w:r w:rsidR="0015382F">
        <w:rPr>
          <w:rFonts w:asciiTheme="minorHAnsi" w:hAnsiTheme="minorHAnsi" w:cs="Arial"/>
        </w:rPr>
        <w:t xml:space="preserve"> </w:t>
      </w:r>
      <w:r w:rsidRPr="0015382F">
        <w:rPr>
          <w:rFonts w:asciiTheme="minorHAnsi" w:hAnsiTheme="minorHAnsi" w:cs="Arial"/>
        </w:rPr>
        <w:t>unknown nor seek additional information when investigating the complaint. An anonymous</w:t>
      </w:r>
      <w:r w:rsidR="0015382F">
        <w:rPr>
          <w:rFonts w:asciiTheme="minorHAnsi" w:hAnsiTheme="minorHAnsi" w:cs="Arial"/>
        </w:rPr>
        <w:t xml:space="preserve"> </w:t>
      </w:r>
      <w:r w:rsidRPr="0015382F">
        <w:rPr>
          <w:rFonts w:asciiTheme="minorHAnsi" w:hAnsiTheme="minorHAnsi" w:cs="Arial"/>
        </w:rPr>
        <w:t>complainant cannot be provided with reasons for any decision made about their complaint.</w:t>
      </w:r>
    </w:p>
    <w:p w:rsidR="00E25165" w:rsidRPr="0015382F" w:rsidRDefault="00E25165" w:rsidP="00E25165">
      <w:pPr>
        <w:autoSpaceDE w:val="0"/>
        <w:autoSpaceDN w:val="0"/>
        <w:adjustRightInd w:val="0"/>
        <w:rPr>
          <w:rFonts w:asciiTheme="minorHAnsi" w:hAnsiTheme="minorHAnsi" w:cs="Arial"/>
        </w:rPr>
      </w:pPr>
    </w:p>
    <w:p w:rsidR="00E25165" w:rsidRDefault="00E25165" w:rsidP="00E25165">
      <w:pPr>
        <w:autoSpaceDE w:val="0"/>
        <w:autoSpaceDN w:val="0"/>
        <w:adjustRightInd w:val="0"/>
        <w:rPr>
          <w:rFonts w:asciiTheme="minorHAnsi" w:hAnsiTheme="minorHAnsi" w:cs="Arial"/>
        </w:rPr>
      </w:pPr>
      <w:r w:rsidRPr="0015382F">
        <w:rPr>
          <w:rFonts w:asciiTheme="minorHAnsi" w:hAnsiTheme="minorHAnsi" w:cs="Arial"/>
        </w:rPr>
        <w:t>In the event that an anonymous complaint</w:t>
      </w:r>
      <w:r w:rsidR="005336E2">
        <w:rPr>
          <w:rFonts w:asciiTheme="minorHAnsi" w:hAnsiTheme="minorHAnsi" w:cs="Arial"/>
        </w:rPr>
        <w:t xml:space="preserve"> of a serious nature </w:t>
      </w:r>
      <w:r w:rsidRPr="0015382F">
        <w:rPr>
          <w:rFonts w:asciiTheme="minorHAnsi" w:hAnsiTheme="minorHAnsi" w:cs="Arial"/>
        </w:rPr>
        <w:t>is received Te Kura will note the issues raised</w:t>
      </w:r>
      <w:r w:rsidR="0015382F">
        <w:rPr>
          <w:rFonts w:asciiTheme="minorHAnsi" w:hAnsiTheme="minorHAnsi" w:cs="Arial"/>
        </w:rPr>
        <w:t xml:space="preserve"> </w:t>
      </w:r>
      <w:r w:rsidRPr="0015382F">
        <w:rPr>
          <w:rFonts w:asciiTheme="minorHAnsi" w:hAnsiTheme="minorHAnsi" w:cs="Arial"/>
        </w:rPr>
        <w:t>and</w:t>
      </w:r>
      <w:r w:rsidR="005336E2">
        <w:rPr>
          <w:rFonts w:asciiTheme="minorHAnsi" w:hAnsiTheme="minorHAnsi" w:cs="Arial"/>
        </w:rPr>
        <w:t xml:space="preserve"> will</w:t>
      </w:r>
      <w:r w:rsidRPr="0015382F">
        <w:rPr>
          <w:rFonts w:asciiTheme="minorHAnsi" w:hAnsiTheme="minorHAnsi" w:cs="Arial"/>
        </w:rPr>
        <w:t xml:space="preserve"> try and resolve them appropriately</w:t>
      </w:r>
      <w:r w:rsidR="00D36311">
        <w:rPr>
          <w:rFonts w:asciiTheme="minorHAnsi" w:hAnsiTheme="minorHAnsi" w:cs="Arial"/>
        </w:rPr>
        <w:t xml:space="preserve">, which may include carrying out, to the extent possible, an effective investigation and reporting on that to the Board. </w:t>
      </w:r>
      <w:r w:rsidRPr="0015382F">
        <w:rPr>
          <w:rFonts w:asciiTheme="minorHAnsi" w:hAnsiTheme="minorHAnsi" w:cs="Arial"/>
        </w:rPr>
        <w:lastRenderedPageBreak/>
        <w:t>However, for the reasons</w:t>
      </w:r>
      <w:r w:rsidR="005336E2">
        <w:rPr>
          <w:rFonts w:asciiTheme="minorHAnsi" w:hAnsiTheme="minorHAnsi" w:cs="Arial"/>
        </w:rPr>
        <w:t xml:space="preserve"> </w:t>
      </w:r>
      <w:r w:rsidRPr="0015382F">
        <w:rPr>
          <w:rFonts w:asciiTheme="minorHAnsi" w:hAnsiTheme="minorHAnsi" w:cs="Arial"/>
        </w:rPr>
        <w:t xml:space="preserve">outlined above, issues raised in anonymous complaints may not be </w:t>
      </w:r>
      <w:r w:rsidR="005E2327">
        <w:rPr>
          <w:rFonts w:asciiTheme="minorHAnsi" w:hAnsiTheme="minorHAnsi" w:cs="Arial"/>
        </w:rPr>
        <w:t xml:space="preserve">acted on </w:t>
      </w:r>
      <w:r w:rsidRPr="0015382F">
        <w:rPr>
          <w:rFonts w:asciiTheme="minorHAnsi" w:hAnsiTheme="minorHAnsi" w:cs="Arial"/>
        </w:rPr>
        <w:t>fully.</w:t>
      </w:r>
      <w:r w:rsidR="00D36311" w:rsidRPr="00D36311">
        <w:rPr>
          <w:rFonts w:asciiTheme="minorHAnsi" w:hAnsiTheme="minorHAnsi" w:cs="Arial"/>
        </w:rPr>
        <w:t xml:space="preserve"> </w:t>
      </w:r>
      <w:r w:rsidR="00D36311">
        <w:rPr>
          <w:rFonts w:asciiTheme="minorHAnsi" w:hAnsiTheme="minorHAnsi" w:cs="Arial"/>
        </w:rPr>
        <w:t xml:space="preserve">Where </w:t>
      </w:r>
      <w:r w:rsidR="00D36311" w:rsidRPr="0015382F">
        <w:rPr>
          <w:rFonts w:asciiTheme="minorHAnsi" w:hAnsiTheme="minorHAnsi" w:cs="Arial"/>
        </w:rPr>
        <w:t>an anonymous complaint</w:t>
      </w:r>
      <w:r w:rsidR="00D36311">
        <w:rPr>
          <w:rFonts w:asciiTheme="minorHAnsi" w:hAnsiTheme="minorHAnsi" w:cs="Arial"/>
        </w:rPr>
        <w:t xml:space="preserve"> of a serious nature refers to a Te Kura employee, that person will be advised of the complaint against them. If they choose to respond, that response will be placed on file.</w:t>
      </w:r>
    </w:p>
    <w:p w:rsidR="00C57C47" w:rsidRDefault="00C57C47" w:rsidP="00B62DC7">
      <w:pPr>
        <w:autoSpaceDE w:val="0"/>
        <w:autoSpaceDN w:val="0"/>
        <w:adjustRightInd w:val="0"/>
        <w:rPr>
          <w:rFonts w:asciiTheme="minorHAnsi" w:hAnsiTheme="minorHAnsi" w:cs="Arial"/>
          <w:iCs/>
        </w:rPr>
      </w:pPr>
    </w:p>
    <w:p w:rsidR="00B62DC7" w:rsidRPr="0015382F" w:rsidRDefault="00B62DC7" w:rsidP="00B62DC7">
      <w:pPr>
        <w:autoSpaceDE w:val="0"/>
        <w:autoSpaceDN w:val="0"/>
        <w:adjustRightInd w:val="0"/>
        <w:rPr>
          <w:rFonts w:asciiTheme="minorHAnsi" w:hAnsiTheme="minorHAnsi" w:cs="Arial"/>
        </w:rPr>
      </w:pPr>
      <w:r>
        <w:rPr>
          <w:rFonts w:asciiTheme="minorHAnsi" w:hAnsiTheme="minorHAnsi" w:cs="Arial"/>
          <w:iCs/>
        </w:rPr>
        <w:t xml:space="preserve">Disclosures made in accordance with the Protected Disclosures Act 2000 (the Act) may be made anonymously. </w:t>
      </w:r>
      <w:r>
        <w:rPr>
          <w:rFonts w:asciiTheme="minorHAnsi" w:hAnsiTheme="minorHAnsi" w:cs="Arial"/>
        </w:rPr>
        <w:t xml:space="preserve">The </w:t>
      </w:r>
      <w:r w:rsidRPr="00B24BD9">
        <w:rPr>
          <w:rFonts w:asciiTheme="minorHAnsi" w:hAnsiTheme="minorHAnsi" w:cs="Arial"/>
          <w:i/>
        </w:rPr>
        <w:t>Protected disclosures</w:t>
      </w:r>
      <w:r>
        <w:rPr>
          <w:rFonts w:asciiTheme="minorHAnsi" w:hAnsiTheme="minorHAnsi" w:cs="Arial"/>
        </w:rPr>
        <w:t xml:space="preserve"> section below contains information for s</w:t>
      </w:r>
      <w:r w:rsidRPr="0015382F">
        <w:rPr>
          <w:rFonts w:asciiTheme="minorHAnsi" w:hAnsiTheme="minorHAnsi" w:cs="Arial"/>
        </w:rPr>
        <w:t xml:space="preserve">taff </w:t>
      </w:r>
      <w:r>
        <w:rPr>
          <w:rFonts w:asciiTheme="minorHAnsi" w:hAnsiTheme="minorHAnsi" w:cs="Arial"/>
        </w:rPr>
        <w:t xml:space="preserve">on </w:t>
      </w:r>
      <w:r w:rsidRPr="0015382F">
        <w:rPr>
          <w:rFonts w:asciiTheme="minorHAnsi" w:hAnsiTheme="minorHAnsi" w:cs="Arial"/>
        </w:rPr>
        <w:t>reporting instances of serious wrongdoing</w:t>
      </w:r>
      <w:r>
        <w:rPr>
          <w:rFonts w:asciiTheme="minorHAnsi" w:hAnsiTheme="minorHAnsi" w:cs="Arial"/>
        </w:rPr>
        <w:t xml:space="preserve"> and the</w:t>
      </w:r>
      <w:r w:rsidRPr="0015382F">
        <w:rPr>
          <w:rFonts w:asciiTheme="minorHAnsi" w:hAnsiTheme="minorHAnsi" w:cs="Arial"/>
        </w:rPr>
        <w:t xml:space="preserve"> protection</w:t>
      </w:r>
      <w:r>
        <w:rPr>
          <w:rFonts w:asciiTheme="minorHAnsi" w:hAnsiTheme="minorHAnsi" w:cs="Arial"/>
        </w:rPr>
        <w:t xml:space="preserve"> offered under </w:t>
      </w:r>
      <w:r w:rsidRPr="0015382F">
        <w:rPr>
          <w:rFonts w:asciiTheme="minorHAnsi" w:hAnsiTheme="minorHAnsi" w:cs="Arial"/>
        </w:rPr>
        <w:t xml:space="preserve">the </w:t>
      </w:r>
      <w:r w:rsidRPr="0015382F">
        <w:rPr>
          <w:rFonts w:asciiTheme="minorHAnsi" w:hAnsiTheme="minorHAnsi" w:cs="Arial"/>
          <w:iCs/>
        </w:rPr>
        <w:t>Act</w:t>
      </w:r>
      <w:r>
        <w:rPr>
          <w:rFonts w:asciiTheme="minorHAnsi" w:hAnsiTheme="minorHAnsi" w:cs="Arial"/>
          <w:iCs/>
        </w:rPr>
        <w:t>.</w:t>
      </w:r>
    </w:p>
    <w:p w:rsidR="00B62DC7" w:rsidRPr="005E2327" w:rsidRDefault="00B62DC7" w:rsidP="00E25165">
      <w:pPr>
        <w:autoSpaceDE w:val="0"/>
        <w:autoSpaceDN w:val="0"/>
        <w:adjustRightInd w:val="0"/>
        <w:rPr>
          <w:rFonts w:cs="Arial"/>
        </w:rPr>
      </w:pPr>
    </w:p>
    <w:p w:rsidR="00BB7917" w:rsidRPr="0015382F" w:rsidRDefault="00BB7917" w:rsidP="00BB7917">
      <w:pPr>
        <w:autoSpaceDE w:val="0"/>
        <w:autoSpaceDN w:val="0"/>
        <w:adjustRightInd w:val="0"/>
        <w:rPr>
          <w:rFonts w:asciiTheme="minorHAnsi" w:hAnsiTheme="minorHAnsi" w:cs="Arial"/>
          <w:b/>
          <w:bCs/>
          <w:iCs/>
          <w:sz w:val="24"/>
        </w:rPr>
      </w:pPr>
      <w:r w:rsidRPr="0015382F">
        <w:rPr>
          <w:rFonts w:asciiTheme="minorHAnsi" w:hAnsiTheme="minorHAnsi" w:cs="Arial"/>
          <w:b/>
          <w:bCs/>
          <w:iCs/>
          <w:sz w:val="24"/>
        </w:rPr>
        <w:t>Protected disclosures</w:t>
      </w:r>
    </w:p>
    <w:p w:rsidR="00BB7917" w:rsidRPr="0015382F" w:rsidRDefault="00BB7917" w:rsidP="00BB7917">
      <w:pPr>
        <w:rPr>
          <w:rFonts w:asciiTheme="minorHAnsi" w:hAnsiTheme="minorHAnsi"/>
        </w:rPr>
      </w:pPr>
      <w:r w:rsidRPr="0015382F">
        <w:rPr>
          <w:rFonts w:asciiTheme="minorHAnsi" w:hAnsiTheme="minorHAnsi" w:cs="Arial"/>
        </w:rPr>
        <w:t xml:space="preserve">The terms of the </w:t>
      </w:r>
      <w:r w:rsidRPr="0015382F">
        <w:rPr>
          <w:rFonts w:asciiTheme="minorHAnsi" w:hAnsiTheme="minorHAnsi" w:cs="Arial"/>
          <w:iCs/>
        </w:rPr>
        <w:t>Protected Disclosures Act 2000</w:t>
      </w:r>
      <w:r w:rsidRPr="0015382F">
        <w:rPr>
          <w:rFonts w:asciiTheme="minorHAnsi" w:hAnsiTheme="minorHAnsi" w:cs="Arial"/>
        </w:rPr>
        <w:t xml:space="preserve"> offer protection to staff reporting instances of serious wrongdoing. To obtain that protection, staff must follow the prescribed procedure when making their report of serious wrongdoing.   A Te Kura employee who wishes to make</w:t>
      </w:r>
      <w:r w:rsidRPr="0015382F">
        <w:rPr>
          <w:rFonts w:asciiTheme="minorHAnsi" w:hAnsiTheme="minorHAnsi"/>
        </w:rPr>
        <w:t xml:space="preserve"> a protected disclosure should do so using the following procedure.</w:t>
      </w:r>
    </w:p>
    <w:p w:rsidR="00BB7917" w:rsidRPr="0015382F" w:rsidRDefault="00BB7917" w:rsidP="00BB7917">
      <w:pPr>
        <w:rPr>
          <w:rFonts w:asciiTheme="minorHAnsi" w:hAnsiTheme="minorHAnsi"/>
        </w:rPr>
      </w:pPr>
    </w:p>
    <w:p w:rsidR="00BB7917" w:rsidRPr="0015382F" w:rsidRDefault="00BB7917" w:rsidP="00BB7917">
      <w:pPr>
        <w:numPr>
          <w:ilvl w:val="0"/>
          <w:numId w:val="4"/>
        </w:numPr>
        <w:ind w:hanging="720"/>
        <w:rPr>
          <w:rFonts w:asciiTheme="minorHAnsi" w:hAnsiTheme="minorHAnsi"/>
        </w:rPr>
      </w:pPr>
      <w:r w:rsidRPr="0015382F">
        <w:rPr>
          <w:rFonts w:asciiTheme="minorHAnsi" w:hAnsiTheme="minorHAnsi"/>
        </w:rPr>
        <w:t xml:space="preserve">Submit the disclosure in writing, clearly stating it is being made in terms of the Protected Disclosures Act 2000. </w:t>
      </w:r>
    </w:p>
    <w:p w:rsidR="00BB7917" w:rsidRPr="0015382F" w:rsidRDefault="00BB7917" w:rsidP="00BB7917">
      <w:pPr>
        <w:numPr>
          <w:ilvl w:val="0"/>
          <w:numId w:val="4"/>
        </w:numPr>
        <w:ind w:hanging="720"/>
        <w:rPr>
          <w:rFonts w:asciiTheme="minorHAnsi" w:hAnsiTheme="minorHAnsi"/>
        </w:rPr>
      </w:pPr>
      <w:r w:rsidRPr="0015382F">
        <w:rPr>
          <w:rFonts w:asciiTheme="minorHAnsi" w:hAnsiTheme="minorHAnsi"/>
        </w:rPr>
        <w:t xml:space="preserve">Send the disclosure in writing to the CE or, if an employee believes the CE is involved in the wrongdoing or has an association with the person committing the wrongdoing that would make it inappropriate to disclose to them, make the disclosure to the Chair of the Board of Trustees. </w:t>
      </w:r>
    </w:p>
    <w:p w:rsidR="00BB7917" w:rsidRPr="0015382F" w:rsidRDefault="00BB7917" w:rsidP="00BB7917">
      <w:pPr>
        <w:numPr>
          <w:ilvl w:val="0"/>
          <w:numId w:val="4"/>
        </w:numPr>
        <w:ind w:hanging="720"/>
        <w:rPr>
          <w:rFonts w:asciiTheme="minorHAnsi" w:hAnsiTheme="minorHAnsi"/>
        </w:rPr>
      </w:pPr>
      <w:r w:rsidRPr="0015382F">
        <w:rPr>
          <w:rFonts w:asciiTheme="minorHAnsi" w:hAnsiTheme="minorHAnsi"/>
        </w:rPr>
        <w:t>A disclosure should contain detailed information, including</w:t>
      </w:r>
    </w:p>
    <w:p w:rsidR="00BB7917" w:rsidRPr="0015382F" w:rsidRDefault="00BB7917" w:rsidP="00BB7917">
      <w:pPr>
        <w:pStyle w:val="BOTBullet3"/>
        <w:numPr>
          <w:ilvl w:val="1"/>
          <w:numId w:val="4"/>
        </w:numPr>
        <w:rPr>
          <w:rFonts w:asciiTheme="minorHAnsi" w:hAnsiTheme="minorHAnsi"/>
        </w:rPr>
      </w:pPr>
      <w:r w:rsidRPr="0015382F">
        <w:rPr>
          <w:rFonts w:asciiTheme="minorHAnsi" w:hAnsiTheme="minorHAnsi"/>
        </w:rPr>
        <w:t>the nature of the serious wrongdoing</w:t>
      </w:r>
    </w:p>
    <w:p w:rsidR="00BB7917" w:rsidRPr="0015382F" w:rsidRDefault="00BB7917" w:rsidP="00BB7917">
      <w:pPr>
        <w:pStyle w:val="BOTBullet3"/>
        <w:numPr>
          <w:ilvl w:val="1"/>
          <w:numId w:val="4"/>
        </w:numPr>
        <w:rPr>
          <w:rFonts w:asciiTheme="minorHAnsi" w:hAnsiTheme="minorHAnsi"/>
        </w:rPr>
      </w:pPr>
      <w:r w:rsidRPr="0015382F">
        <w:rPr>
          <w:rFonts w:asciiTheme="minorHAnsi" w:hAnsiTheme="minorHAnsi"/>
        </w:rPr>
        <w:t>the name or names of the people involved</w:t>
      </w:r>
    </w:p>
    <w:p w:rsidR="00BB7917" w:rsidRPr="0015382F" w:rsidRDefault="00BB7917" w:rsidP="00BB7917">
      <w:pPr>
        <w:pStyle w:val="BOTBullet3"/>
        <w:numPr>
          <w:ilvl w:val="1"/>
          <w:numId w:val="4"/>
        </w:numPr>
        <w:rPr>
          <w:rFonts w:asciiTheme="minorHAnsi" w:hAnsiTheme="minorHAnsi"/>
        </w:rPr>
      </w:pPr>
      <w:r w:rsidRPr="0015382F">
        <w:rPr>
          <w:rFonts w:asciiTheme="minorHAnsi" w:hAnsiTheme="minorHAnsi"/>
        </w:rPr>
        <w:t>surrounding facts, including details relating to the time and/or place of the wrongdoing if known or relevant.</w:t>
      </w:r>
    </w:p>
    <w:p w:rsidR="00BB7917" w:rsidRPr="0015382F" w:rsidRDefault="00BB7917" w:rsidP="00BB7917">
      <w:pPr>
        <w:autoSpaceDE w:val="0"/>
        <w:autoSpaceDN w:val="0"/>
        <w:adjustRightInd w:val="0"/>
        <w:rPr>
          <w:rFonts w:asciiTheme="minorHAnsi" w:hAnsiTheme="minorHAnsi" w:cs="Arial"/>
        </w:rPr>
      </w:pPr>
    </w:p>
    <w:p w:rsidR="00BB7917" w:rsidRPr="0015382F" w:rsidRDefault="00BB7917" w:rsidP="00BB7917">
      <w:pPr>
        <w:autoSpaceDE w:val="0"/>
        <w:autoSpaceDN w:val="0"/>
        <w:adjustRightInd w:val="0"/>
        <w:rPr>
          <w:rFonts w:asciiTheme="minorHAnsi" w:hAnsiTheme="minorHAnsi" w:cs="Arial"/>
        </w:rPr>
      </w:pPr>
      <w:r w:rsidRPr="0015382F">
        <w:rPr>
          <w:rFonts w:asciiTheme="minorHAnsi" w:hAnsiTheme="minorHAnsi" w:cs="Arial"/>
        </w:rPr>
        <w:t xml:space="preserve">Te Kura’s Protected Disclosures Policy, management </w:t>
      </w:r>
      <w:r w:rsidR="00C57C47">
        <w:rPr>
          <w:rFonts w:asciiTheme="minorHAnsi" w:hAnsiTheme="minorHAnsi" w:cs="Arial"/>
        </w:rPr>
        <w:t>procedures</w:t>
      </w:r>
      <w:r w:rsidRPr="0015382F">
        <w:rPr>
          <w:rFonts w:asciiTheme="minorHAnsi" w:hAnsiTheme="minorHAnsi" w:cs="Arial"/>
        </w:rPr>
        <w:t xml:space="preserve"> and staff procedures are designed to inform employees of their rights and obligations in relation to such disclosures and the steps they should take to report serious wrongdoing. For more information, refer to those documents on the intranet’s </w:t>
      </w:r>
      <w:hyperlink r:id="rId8" w:history="1">
        <w:r w:rsidRPr="00C57C47">
          <w:rPr>
            <w:rStyle w:val="Hyperlink"/>
            <w:rFonts w:asciiTheme="minorHAnsi" w:hAnsiTheme="minorHAnsi" w:cs="Arial"/>
          </w:rPr>
          <w:t>Policy framework</w:t>
        </w:r>
      </w:hyperlink>
      <w:r w:rsidRPr="0015382F">
        <w:rPr>
          <w:rFonts w:asciiTheme="minorHAnsi" w:hAnsiTheme="minorHAnsi" w:cs="Arial"/>
        </w:rPr>
        <w:t xml:space="preserve"> page.</w:t>
      </w:r>
    </w:p>
    <w:p w:rsidR="00BB7917" w:rsidRPr="005E2327" w:rsidRDefault="00BB7917" w:rsidP="005E2327">
      <w:pPr>
        <w:autoSpaceDE w:val="0"/>
        <w:autoSpaceDN w:val="0"/>
        <w:adjustRightInd w:val="0"/>
        <w:rPr>
          <w:rFonts w:cs="Arial"/>
        </w:rPr>
      </w:pPr>
    </w:p>
    <w:p w:rsidR="004159D4" w:rsidRPr="005F486D" w:rsidRDefault="004159D4" w:rsidP="004159D4">
      <w:pPr>
        <w:pStyle w:val="BOTHeading2"/>
        <w:rPr>
          <w:rFonts w:asciiTheme="minorHAnsi" w:hAnsiTheme="minorHAnsi"/>
          <w:color w:val="auto"/>
        </w:rPr>
      </w:pPr>
      <w:r w:rsidRPr="005F486D">
        <w:rPr>
          <w:rFonts w:asciiTheme="minorHAnsi" w:hAnsiTheme="minorHAnsi"/>
          <w:color w:val="auto"/>
        </w:rPr>
        <w:t>Supporting documentation</w:t>
      </w:r>
    </w:p>
    <w:p w:rsidR="00917BD0" w:rsidRDefault="005F2F33" w:rsidP="004159D4">
      <w:pPr>
        <w:rPr>
          <w:rFonts w:asciiTheme="minorHAnsi" w:hAnsiTheme="minorHAnsi"/>
        </w:rPr>
      </w:pPr>
      <w:r>
        <w:rPr>
          <w:rFonts w:asciiTheme="minorHAnsi" w:hAnsiTheme="minorHAnsi"/>
        </w:rPr>
        <w:t>National Administration Guideline (</w:t>
      </w:r>
      <w:r w:rsidR="00917BD0">
        <w:rPr>
          <w:rFonts w:asciiTheme="minorHAnsi" w:hAnsiTheme="minorHAnsi"/>
        </w:rPr>
        <w:t>NAG</w:t>
      </w:r>
      <w:r>
        <w:rPr>
          <w:rFonts w:asciiTheme="minorHAnsi" w:hAnsiTheme="minorHAnsi"/>
        </w:rPr>
        <w:t>)</w:t>
      </w:r>
      <w:r w:rsidR="00917BD0">
        <w:rPr>
          <w:rFonts w:asciiTheme="minorHAnsi" w:hAnsiTheme="minorHAnsi"/>
        </w:rPr>
        <w:t xml:space="preserve"> 1</w:t>
      </w:r>
    </w:p>
    <w:p w:rsidR="004159D4" w:rsidRPr="005F486D" w:rsidRDefault="005F2F33" w:rsidP="004159D4">
      <w:pPr>
        <w:rPr>
          <w:rFonts w:asciiTheme="minorHAnsi" w:hAnsiTheme="minorHAnsi"/>
        </w:rPr>
      </w:pPr>
      <w:r>
        <w:rPr>
          <w:rFonts w:asciiTheme="minorHAnsi" w:hAnsiTheme="minorHAnsi"/>
        </w:rPr>
        <w:t>National Administration Guideline (</w:t>
      </w:r>
      <w:r w:rsidR="001E30BC" w:rsidRPr="005F486D">
        <w:rPr>
          <w:rFonts w:asciiTheme="minorHAnsi" w:hAnsiTheme="minorHAnsi"/>
        </w:rPr>
        <w:t>N</w:t>
      </w:r>
      <w:r w:rsidR="001475C0">
        <w:rPr>
          <w:rFonts w:asciiTheme="minorHAnsi" w:hAnsiTheme="minorHAnsi"/>
        </w:rPr>
        <w:t>AG</w:t>
      </w:r>
      <w:r>
        <w:rPr>
          <w:rFonts w:asciiTheme="minorHAnsi" w:hAnsiTheme="minorHAnsi"/>
        </w:rPr>
        <w:t>)</w:t>
      </w:r>
      <w:r w:rsidR="001E30BC" w:rsidRPr="005F486D">
        <w:rPr>
          <w:rFonts w:asciiTheme="minorHAnsi" w:hAnsiTheme="minorHAnsi"/>
        </w:rPr>
        <w:t xml:space="preserve"> 3</w:t>
      </w:r>
    </w:p>
    <w:p w:rsidR="000A2556" w:rsidRPr="005F486D" w:rsidRDefault="005F2F33" w:rsidP="000A2556">
      <w:pPr>
        <w:rPr>
          <w:rFonts w:asciiTheme="minorHAnsi" w:hAnsiTheme="minorHAnsi"/>
        </w:rPr>
      </w:pPr>
      <w:r>
        <w:rPr>
          <w:rFonts w:asciiTheme="minorHAnsi" w:hAnsiTheme="minorHAnsi"/>
        </w:rPr>
        <w:t>National Administration Guideline (</w:t>
      </w:r>
      <w:r w:rsidR="000A2556" w:rsidRPr="005F486D">
        <w:rPr>
          <w:rFonts w:asciiTheme="minorHAnsi" w:hAnsiTheme="minorHAnsi"/>
        </w:rPr>
        <w:t>N</w:t>
      </w:r>
      <w:r w:rsidR="001475C0">
        <w:rPr>
          <w:rFonts w:asciiTheme="minorHAnsi" w:hAnsiTheme="minorHAnsi"/>
        </w:rPr>
        <w:t>AG</w:t>
      </w:r>
      <w:r>
        <w:rPr>
          <w:rFonts w:asciiTheme="minorHAnsi" w:hAnsiTheme="minorHAnsi"/>
        </w:rPr>
        <w:t>)</w:t>
      </w:r>
      <w:r w:rsidR="000A2556" w:rsidRPr="005F486D">
        <w:rPr>
          <w:rFonts w:asciiTheme="minorHAnsi" w:hAnsiTheme="minorHAnsi"/>
        </w:rPr>
        <w:t xml:space="preserve"> 5</w:t>
      </w:r>
    </w:p>
    <w:p w:rsidR="000A2556" w:rsidRPr="005F486D" w:rsidRDefault="001E30BC" w:rsidP="000A2556">
      <w:pPr>
        <w:rPr>
          <w:rFonts w:asciiTheme="minorHAnsi" w:hAnsiTheme="minorHAnsi"/>
        </w:rPr>
      </w:pPr>
      <w:r w:rsidRPr="005F486D">
        <w:rPr>
          <w:rFonts w:asciiTheme="minorHAnsi" w:hAnsiTheme="minorHAnsi"/>
        </w:rPr>
        <w:t>Privacy Act 1993</w:t>
      </w:r>
    </w:p>
    <w:p w:rsidR="000A2556" w:rsidRPr="005F486D" w:rsidRDefault="00AF6372" w:rsidP="000A2556">
      <w:pPr>
        <w:rPr>
          <w:rFonts w:asciiTheme="minorHAnsi" w:hAnsiTheme="minorHAnsi"/>
        </w:rPr>
      </w:pPr>
      <w:r w:rsidRPr="005F486D">
        <w:rPr>
          <w:rFonts w:asciiTheme="minorHAnsi" w:hAnsiTheme="minorHAnsi"/>
        </w:rPr>
        <w:t>Protected Disclosures Act 2000</w:t>
      </w:r>
    </w:p>
    <w:p w:rsidR="000A2556" w:rsidRPr="005F486D" w:rsidRDefault="00AC6FB4" w:rsidP="000A2556">
      <w:pPr>
        <w:rPr>
          <w:rFonts w:asciiTheme="minorHAnsi" w:hAnsiTheme="minorHAnsi"/>
        </w:rPr>
      </w:pPr>
      <w:r w:rsidRPr="005F486D">
        <w:rPr>
          <w:rFonts w:asciiTheme="minorHAnsi" w:hAnsiTheme="minorHAnsi"/>
        </w:rPr>
        <w:t>Human Rights Act 1993</w:t>
      </w:r>
    </w:p>
    <w:p w:rsidR="005E2327" w:rsidRDefault="00AF6372" w:rsidP="000A2556">
      <w:pPr>
        <w:rPr>
          <w:rFonts w:asciiTheme="minorHAnsi" w:hAnsiTheme="minorHAnsi"/>
        </w:rPr>
      </w:pPr>
      <w:r w:rsidRPr="005F486D">
        <w:rPr>
          <w:rFonts w:asciiTheme="minorHAnsi" w:hAnsiTheme="minorHAnsi"/>
        </w:rPr>
        <w:t xml:space="preserve">Employment Relations Act </w:t>
      </w:r>
      <w:r w:rsidR="000D7BF4" w:rsidRPr="005F486D">
        <w:rPr>
          <w:rFonts w:asciiTheme="minorHAnsi" w:hAnsiTheme="minorHAnsi"/>
        </w:rPr>
        <w:t>2000</w:t>
      </w:r>
    </w:p>
    <w:p w:rsidR="00405CAD" w:rsidRDefault="00405CAD" w:rsidP="00405CAD">
      <w:pPr>
        <w:rPr>
          <w:rFonts w:asciiTheme="minorHAnsi" w:hAnsiTheme="minorHAnsi"/>
        </w:rPr>
      </w:pPr>
      <w:r>
        <w:rPr>
          <w:rFonts w:asciiTheme="minorHAnsi" w:hAnsiTheme="minorHAnsi"/>
        </w:rPr>
        <w:t>Child Protection Policy</w:t>
      </w:r>
    </w:p>
    <w:p w:rsidR="005E2327" w:rsidRDefault="00405CAD" w:rsidP="000A2556">
      <w:pPr>
        <w:rPr>
          <w:rFonts w:asciiTheme="minorHAnsi" w:hAnsiTheme="minorHAnsi"/>
        </w:rPr>
      </w:pPr>
      <w:r>
        <w:rPr>
          <w:rFonts w:asciiTheme="minorHAnsi" w:hAnsiTheme="minorHAnsi"/>
        </w:rPr>
        <w:t>Personnel and being a good employer Policy</w:t>
      </w:r>
    </w:p>
    <w:p w:rsidR="005E2327" w:rsidRDefault="005E2327" w:rsidP="000A2556">
      <w:pPr>
        <w:rPr>
          <w:rFonts w:asciiTheme="minorHAnsi" w:hAnsiTheme="minorHAnsi"/>
        </w:rPr>
      </w:pPr>
    </w:p>
    <w:p w:rsidR="005E2327" w:rsidRPr="005F486D" w:rsidRDefault="005E2327" w:rsidP="000A2556">
      <w:pPr>
        <w:rPr>
          <w:rFonts w:asciiTheme="minorHAnsi" w:hAnsiTheme="minorHAnsi"/>
        </w:rPr>
      </w:pPr>
    </w:p>
    <w:p w:rsidR="004159D4" w:rsidRPr="009C4BFB" w:rsidRDefault="004159D4" w:rsidP="004159D4">
      <w:pPr>
        <w:pStyle w:val="BOTHeading2"/>
        <w:rPr>
          <w:rFonts w:asciiTheme="minorHAnsi" w:hAnsiTheme="minorHAnsi"/>
          <w:color w:val="auto"/>
        </w:rPr>
      </w:pPr>
      <w:r w:rsidRPr="009C4BFB">
        <w:rPr>
          <w:rFonts w:asciiTheme="minorHAnsi" w:hAnsiTheme="minorHAnsi"/>
          <w:color w:val="auto"/>
        </w:rPr>
        <w:t>------------------------------------------------------</w:t>
      </w:r>
      <w:r w:rsidR="00BB74E1">
        <w:rPr>
          <w:rFonts w:asciiTheme="minorHAnsi" w:hAnsiTheme="minorHAnsi"/>
          <w:color w:val="auto"/>
        </w:rPr>
        <w:tab/>
      </w:r>
      <w:r w:rsidR="00BB74E1">
        <w:rPr>
          <w:rFonts w:asciiTheme="minorHAnsi" w:hAnsiTheme="minorHAnsi"/>
          <w:color w:val="auto"/>
        </w:rPr>
        <w:tab/>
      </w:r>
      <w:r w:rsidR="00BB74E1" w:rsidRPr="009C4BFB">
        <w:rPr>
          <w:rFonts w:asciiTheme="minorHAnsi" w:hAnsiTheme="minorHAnsi"/>
          <w:color w:val="auto"/>
        </w:rPr>
        <w:t>------------</w:t>
      </w:r>
      <w:r w:rsidR="00BB74E1">
        <w:rPr>
          <w:rFonts w:asciiTheme="minorHAnsi" w:hAnsiTheme="minorHAnsi"/>
          <w:color w:val="auto"/>
        </w:rPr>
        <w:t>----------------</w:t>
      </w:r>
    </w:p>
    <w:p w:rsidR="004159D4" w:rsidRPr="009C4BFB" w:rsidRDefault="004159D4" w:rsidP="004159D4">
      <w:pPr>
        <w:pStyle w:val="BOTHeading2"/>
        <w:rPr>
          <w:rFonts w:asciiTheme="minorHAnsi" w:hAnsiTheme="minorHAnsi"/>
          <w:color w:val="auto"/>
        </w:rPr>
      </w:pPr>
      <w:r w:rsidRPr="009C4BFB">
        <w:rPr>
          <w:rFonts w:asciiTheme="minorHAnsi" w:hAnsiTheme="minorHAnsi"/>
          <w:color w:val="auto"/>
        </w:rPr>
        <w:t>Approved as a governance policy</w:t>
      </w:r>
      <w:r w:rsidR="00BB74E1">
        <w:rPr>
          <w:rFonts w:asciiTheme="minorHAnsi" w:hAnsiTheme="minorHAnsi"/>
          <w:color w:val="auto"/>
        </w:rPr>
        <w:tab/>
      </w:r>
      <w:r w:rsidR="00BB74E1">
        <w:rPr>
          <w:rFonts w:asciiTheme="minorHAnsi" w:hAnsiTheme="minorHAnsi"/>
          <w:color w:val="auto"/>
        </w:rPr>
        <w:tab/>
      </w:r>
      <w:r w:rsidR="00BB74E1">
        <w:rPr>
          <w:rFonts w:asciiTheme="minorHAnsi" w:hAnsiTheme="minorHAnsi"/>
          <w:color w:val="auto"/>
        </w:rPr>
        <w:tab/>
        <w:t>Date</w:t>
      </w:r>
    </w:p>
    <w:p w:rsidR="005E2327" w:rsidRDefault="005E2327" w:rsidP="004159D4">
      <w:pPr>
        <w:pStyle w:val="BOTHeading2"/>
        <w:rPr>
          <w:rFonts w:asciiTheme="minorHAnsi" w:hAnsiTheme="minorHAnsi"/>
          <w:color w:val="auto"/>
        </w:rPr>
      </w:pPr>
    </w:p>
    <w:p w:rsidR="00BB74E1" w:rsidRDefault="00BB74E1" w:rsidP="004159D4">
      <w:pPr>
        <w:pStyle w:val="BOTHeading2"/>
        <w:rPr>
          <w:rFonts w:asciiTheme="minorHAnsi" w:hAnsiTheme="minorHAnsi"/>
          <w:color w:val="auto"/>
        </w:rPr>
      </w:pPr>
      <w:r>
        <w:rPr>
          <w:rFonts w:asciiTheme="minorHAnsi" w:hAnsiTheme="minorHAnsi"/>
          <w:color w:val="auto"/>
        </w:rPr>
        <w:t xml:space="preserve">Karen Sewell </w:t>
      </w:r>
    </w:p>
    <w:p w:rsidR="004159D4" w:rsidRPr="009C4BFB" w:rsidRDefault="00D527FB" w:rsidP="004159D4">
      <w:pPr>
        <w:pStyle w:val="BOTHeading2"/>
        <w:rPr>
          <w:rFonts w:asciiTheme="minorHAnsi" w:hAnsiTheme="minorHAnsi"/>
          <w:color w:val="auto"/>
        </w:rPr>
      </w:pPr>
      <w:r w:rsidRPr="009C4BFB">
        <w:rPr>
          <w:rFonts w:asciiTheme="minorHAnsi" w:hAnsiTheme="minorHAnsi"/>
          <w:color w:val="auto"/>
        </w:rPr>
        <w:t>Chair</w:t>
      </w:r>
    </w:p>
    <w:p w:rsidR="004159D4" w:rsidRPr="009C4BFB" w:rsidRDefault="004159D4" w:rsidP="004159D4">
      <w:pPr>
        <w:pStyle w:val="BOTHeading2"/>
        <w:rPr>
          <w:rFonts w:asciiTheme="minorHAnsi" w:hAnsiTheme="minorHAnsi"/>
          <w:color w:val="auto"/>
        </w:rPr>
      </w:pPr>
      <w:r w:rsidRPr="009C4BFB">
        <w:rPr>
          <w:rFonts w:asciiTheme="minorHAnsi" w:hAnsiTheme="minorHAnsi"/>
          <w:color w:val="auto"/>
        </w:rPr>
        <w:t>Board of Trustees</w:t>
      </w:r>
    </w:p>
    <w:sectPr w:rsidR="004159D4" w:rsidRPr="009C4BFB" w:rsidSect="005E2327">
      <w:headerReference w:type="default" r:id="rId9"/>
      <w:footerReference w:type="default" r:id="rId10"/>
      <w:pgSz w:w="11907" w:h="16840" w:code="9"/>
      <w:pgMar w:top="1440" w:right="1797" w:bottom="993"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6F9" w:rsidRDefault="00A116F9">
      <w:r>
        <w:separator/>
      </w:r>
    </w:p>
  </w:endnote>
  <w:endnote w:type="continuationSeparator" w:id="0">
    <w:p w:rsidR="00A116F9" w:rsidRDefault="00A1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7FB" w:rsidRPr="009C4BFB" w:rsidRDefault="009C4BFB" w:rsidP="004159D4">
    <w:pPr>
      <w:pBdr>
        <w:top w:val="single" w:sz="4" w:space="1" w:color="auto"/>
      </w:pBdr>
      <w:tabs>
        <w:tab w:val="center" w:pos="3960"/>
        <w:tab w:val="right" w:pos="8640"/>
      </w:tabs>
      <w:rPr>
        <w:rFonts w:asciiTheme="minorHAnsi" w:hAnsiTheme="minorHAnsi"/>
        <w:sz w:val="16"/>
        <w:szCs w:val="20"/>
      </w:rPr>
    </w:pPr>
    <w:r>
      <w:rPr>
        <w:rFonts w:asciiTheme="minorHAnsi" w:hAnsiTheme="minorHAnsi"/>
        <w:sz w:val="16"/>
        <w:szCs w:val="20"/>
      </w:rPr>
      <w:t>Complaints</w:t>
    </w:r>
    <w:r w:rsidR="00D527FB" w:rsidRPr="009C4BFB">
      <w:rPr>
        <w:rFonts w:asciiTheme="minorHAnsi" w:hAnsiTheme="minorHAnsi"/>
        <w:sz w:val="16"/>
        <w:szCs w:val="20"/>
      </w:rPr>
      <w:tab/>
    </w:r>
    <w:r w:rsidR="00BB74E1">
      <w:rPr>
        <w:rFonts w:asciiTheme="minorHAnsi" w:hAnsiTheme="minorHAnsi"/>
        <w:sz w:val="16"/>
        <w:szCs w:val="20"/>
      </w:rPr>
      <w:t xml:space="preserve">May </w:t>
    </w:r>
    <w:r w:rsidR="00C57C47">
      <w:rPr>
        <w:rFonts w:asciiTheme="minorHAnsi" w:hAnsiTheme="minorHAnsi"/>
        <w:sz w:val="16"/>
        <w:szCs w:val="20"/>
      </w:rPr>
      <w:t>2017</w:t>
    </w:r>
    <w:r w:rsidR="00D527FB" w:rsidRPr="009C4BFB">
      <w:rPr>
        <w:rFonts w:asciiTheme="minorHAnsi" w:hAnsiTheme="minorHAnsi"/>
        <w:sz w:val="16"/>
        <w:szCs w:val="20"/>
      </w:rPr>
      <w:tab/>
      <w:t xml:space="preserve">Page </w:t>
    </w:r>
    <w:r w:rsidR="009D7E5E" w:rsidRPr="009C4BFB">
      <w:rPr>
        <w:rFonts w:asciiTheme="minorHAnsi" w:hAnsiTheme="minorHAnsi"/>
        <w:sz w:val="16"/>
        <w:szCs w:val="20"/>
      </w:rPr>
      <w:fldChar w:fldCharType="begin"/>
    </w:r>
    <w:r w:rsidR="00D527FB" w:rsidRPr="009C4BFB">
      <w:rPr>
        <w:rFonts w:asciiTheme="minorHAnsi" w:hAnsiTheme="minorHAnsi"/>
        <w:sz w:val="16"/>
        <w:szCs w:val="20"/>
      </w:rPr>
      <w:instrText xml:space="preserve"> PAGE </w:instrText>
    </w:r>
    <w:r w:rsidR="009D7E5E" w:rsidRPr="009C4BFB">
      <w:rPr>
        <w:rFonts w:asciiTheme="minorHAnsi" w:hAnsiTheme="minorHAnsi"/>
        <w:sz w:val="16"/>
        <w:szCs w:val="20"/>
      </w:rPr>
      <w:fldChar w:fldCharType="separate"/>
    </w:r>
    <w:r w:rsidR="00D4676C">
      <w:rPr>
        <w:rFonts w:asciiTheme="minorHAnsi" w:hAnsiTheme="minorHAnsi"/>
        <w:noProof/>
        <w:sz w:val="16"/>
        <w:szCs w:val="20"/>
      </w:rPr>
      <w:t>1</w:t>
    </w:r>
    <w:r w:rsidR="009D7E5E" w:rsidRPr="009C4BFB">
      <w:rPr>
        <w:rFonts w:asciiTheme="minorHAnsi" w:hAnsiTheme="minorHAnsi"/>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6F9" w:rsidRDefault="00A116F9">
      <w:r>
        <w:separator/>
      </w:r>
    </w:p>
  </w:footnote>
  <w:footnote w:type="continuationSeparator" w:id="0">
    <w:p w:rsidR="00A116F9" w:rsidRDefault="00A11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7FB" w:rsidRPr="009C4BFB" w:rsidRDefault="009C4BFB" w:rsidP="004159D4">
    <w:pPr>
      <w:tabs>
        <w:tab w:val="right" w:pos="8640"/>
      </w:tabs>
      <w:rPr>
        <w:rFonts w:asciiTheme="minorHAnsi" w:hAnsiTheme="minorHAnsi"/>
        <w:sz w:val="20"/>
        <w:szCs w:val="16"/>
      </w:rPr>
    </w:pPr>
    <w:r w:rsidRPr="009C4BFB">
      <w:rPr>
        <w:rFonts w:asciiTheme="minorHAnsi" w:hAnsiTheme="minorHAnsi"/>
        <w:sz w:val="20"/>
        <w:szCs w:val="16"/>
      </w:rPr>
      <w:t>Te Aho o Te Kura Pounamu</w:t>
    </w:r>
    <w:r w:rsidR="00D527FB" w:rsidRPr="009C4BFB">
      <w:rPr>
        <w:rFonts w:asciiTheme="minorHAnsi" w:hAnsiTheme="minorHAnsi"/>
        <w:sz w:val="20"/>
        <w:szCs w:val="16"/>
      </w:rPr>
      <w:t xml:space="preserve"> </w:t>
    </w:r>
    <w:r w:rsidR="00D527FB" w:rsidRPr="009C4BFB">
      <w:rPr>
        <w:rFonts w:asciiTheme="minorHAnsi" w:hAnsiTheme="minorHAnsi"/>
        <w:sz w:val="20"/>
        <w:szCs w:val="16"/>
      </w:rPr>
      <w:tab/>
      <w:t>Governance Policies</w:t>
    </w:r>
  </w:p>
  <w:p w:rsidR="00D527FB" w:rsidRPr="005E2327" w:rsidRDefault="00D527FB" w:rsidP="004159D4">
    <w:pPr>
      <w:pBdr>
        <w:bottom w:val="single" w:sz="4" w:space="1" w:color="auto"/>
      </w:pBd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85BF0"/>
    <w:multiLevelType w:val="hybridMultilevel"/>
    <w:tmpl w:val="FB244BFE"/>
    <w:lvl w:ilvl="0" w:tplc="03DEC7DC">
      <w:numFmt w:val="bullet"/>
      <w:lvlText w:val="-"/>
      <w:lvlJc w:val="left"/>
      <w:pPr>
        <w:ind w:left="2037" w:hanging="360"/>
      </w:pPr>
      <w:rPr>
        <w:rFonts w:ascii="Arial Narrow" w:eastAsia="Times New Roman" w:hAnsi="Arial Narrow" w:cs="Times New Roman" w:hint="default"/>
      </w:rPr>
    </w:lvl>
    <w:lvl w:ilvl="1" w:tplc="04090003" w:tentative="1">
      <w:start w:val="1"/>
      <w:numFmt w:val="bullet"/>
      <w:lvlText w:val="o"/>
      <w:lvlJc w:val="left"/>
      <w:pPr>
        <w:ind w:left="2757" w:hanging="360"/>
      </w:pPr>
      <w:rPr>
        <w:rFonts w:ascii="Courier New" w:hAnsi="Courier New" w:cs="Courier New" w:hint="default"/>
      </w:rPr>
    </w:lvl>
    <w:lvl w:ilvl="2" w:tplc="04090005" w:tentative="1">
      <w:start w:val="1"/>
      <w:numFmt w:val="bullet"/>
      <w:lvlText w:val=""/>
      <w:lvlJc w:val="left"/>
      <w:pPr>
        <w:ind w:left="3477" w:hanging="360"/>
      </w:pPr>
      <w:rPr>
        <w:rFonts w:ascii="Wingdings" w:hAnsi="Wingdings" w:hint="default"/>
      </w:rPr>
    </w:lvl>
    <w:lvl w:ilvl="3" w:tplc="04090001" w:tentative="1">
      <w:start w:val="1"/>
      <w:numFmt w:val="bullet"/>
      <w:lvlText w:val=""/>
      <w:lvlJc w:val="left"/>
      <w:pPr>
        <w:ind w:left="4197" w:hanging="360"/>
      </w:pPr>
      <w:rPr>
        <w:rFonts w:ascii="Symbol" w:hAnsi="Symbol" w:hint="default"/>
      </w:rPr>
    </w:lvl>
    <w:lvl w:ilvl="4" w:tplc="04090003" w:tentative="1">
      <w:start w:val="1"/>
      <w:numFmt w:val="bullet"/>
      <w:lvlText w:val="o"/>
      <w:lvlJc w:val="left"/>
      <w:pPr>
        <w:ind w:left="4917" w:hanging="360"/>
      </w:pPr>
      <w:rPr>
        <w:rFonts w:ascii="Courier New" w:hAnsi="Courier New" w:cs="Courier New" w:hint="default"/>
      </w:rPr>
    </w:lvl>
    <w:lvl w:ilvl="5" w:tplc="04090005" w:tentative="1">
      <w:start w:val="1"/>
      <w:numFmt w:val="bullet"/>
      <w:lvlText w:val=""/>
      <w:lvlJc w:val="left"/>
      <w:pPr>
        <w:ind w:left="5637" w:hanging="360"/>
      </w:pPr>
      <w:rPr>
        <w:rFonts w:ascii="Wingdings" w:hAnsi="Wingdings" w:hint="default"/>
      </w:rPr>
    </w:lvl>
    <w:lvl w:ilvl="6" w:tplc="04090001" w:tentative="1">
      <w:start w:val="1"/>
      <w:numFmt w:val="bullet"/>
      <w:lvlText w:val=""/>
      <w:lvlJc w:val="left"/>
      <w:pPr>
        <w:ind w:left="6357" w:hanging="360"/>
      </w:pPr>
      <w:rPr>
        <w:rFonts w:ascii="Symbol" w:hAnsi="Symbol" w:hint="default"/>
      </w:rPr>
    </w:lvl>
    <w:lvl w:ilvl="7" w:tplc="04090003" w:tentative="1">
      <w:start w:val="1"/>
      <w:numFmt w:val="bullet"/>
      <w:lvlText w:val="o"/>
      <w:lvlJc w:val="left"/>
      <w:pPr>
        <w:ind w:left="7077" w:hanging="360"/>
      </w:pPr>
      <w:rPr>
        <w:rFonts w:ascii="Courier New" w:hAnsi="Courier New" w:cs="Courier New" w:hint="default"/>
      </w:rPr>
    </w:lvl>
    <w:lvl w:ilvl="8" w:tplc="04090005" w:tentative="1">
      <w:start w:val="1"/>
      <w:numFmt w:val="bullet"/>
      <w:lvlText w:val=""/>
      <w:lvlJc w:val="left"/>
      <w:pPr>
        <w:ind w:left="7797" w:hanging="360"/>
      </w:pPr>
      <w:rPr>
        <w:rFonts w:ascii="Wingdings" w:hAnsi="Wingdings" w:hint="default"/>
      </w:rPr>
    </w:lvl>
  </w:abstractNum>
  <w:abstractNum w:abstractNumId="1" w15:restartNumberingAfterBreak="0">
    <w:nsid w:val="1CF05F6D"/>
    <w:multiLevelType w:val="hybridMultilevel"/>
    <w:tmpl w:val="E4288A20"/>
    <w:lvl w:ilvl="0" w:tplc="FFFFFFFF">
      <w:start w:val="1"/>
      <w:numFmt w:val="bullet"/>
      <w:pStyle w:val="BOTBullet"/>
      <w:lvlText w:val=""/>
      <w:lvlJc w:val="left"/>
      <w:pPr>
        <w:tabs>
          <w:tab w:val="num" w:pos="5661"/>
        </w:tabs>
        <w:ind w:left="5641" w:hanging="340"/>
      </w:pPr>
      <w:rPr>
        <w:rFonts w:ascii="Wingdings" w:hAnsi="Wingdings" w:hint="default"/>
        <w:color w:val="008080"/>
      </w:rPr>
    </w:lvl>
    <w:lvl w:ilvl="1" w:tplc="04090003">
      <w:start w:val="1"/>
      <w:numFmt w:val="bullet"/>
      <w:lvlText w:val="o"/>
      <w:lvlJc w:val="left"/>
      <w:pPr>
        <w:tabs>
          <w:tab w:val="num" w:pos="5922"/>
        </w:tabs>
        <w:ind w:left="5922" w:hanging="360"/>
      </w:pPr>
      <w:rPr>
        <w:rFonts w:ascii="Courier New" w:hAnsi="Courier New" w:cs="Courier New" w:hint="default"/>
        <w:color w:val="008080"/>
      </w:rPr>
    </w:lvl>
    <w:lvl w:ilvl="2" w:tplc="FFFFFFFF">
      <w:start w:val="1"/>
      <w:numFmt w:val="decimal"/>
      <w:lvlText w:val="%3."/>
      <w:lvlJc w:val="left"/>
      <w:pPr>
        <w:tabs>
          <w:tab w:val="num" w:pos="4941"/>
        </w:tabs>
        <w:ind w:left="4941" w:hanging="360"/>
      </w:pPr>
    </w:lvl>
    <w:lvl w:ilvl="3" w:tplc="FFFFFFFF">
      <w:start w:val="1"/>
      <w:numFmt w:val="decimal"/>
      <w:lvlText w:val="%4."/>
      <w:lvlJc w:val="left"/>
      <w:pPr>
        <w:tabs>
          <w:tab w:val="num" w:pos="5661"/>
        </w:tabs>
        <w:ind w:left="5661" w:hanging="360"/>
      </w:pPr>
    </w:lvl>
    <w:lvl w:ilvl="4" w:tplc="FFFFFFFF">
      <w:start w:val="1"/>
      <w:numFmt w:val="decimal"/>
      <w:lvlText w:val="%5."/>
      <w:lvlJc w:val="left"/>
      <w:pPr>
        <w:tabs>
          <w:tab w:val="num" w:pos="6381"/>
        </w:tabs>
        <w:ind w:left="6381" w:hanging="360"/>
      </w:pPr>
    </w:lvl>
    <w:lvl w:ilvl="5" w:tplc="FFFFFFFF">
      <w:start w:val="1"/>
      <w:numFmt w:val="decimal"/>
      <w:lvlText w:val="%6."/>
      <w:lvlJc w:val="left"/>
      <w:pPr>
        <w:tabs>
          <w:tab w:val="num" w:pos="7101"/>
        </w:tabs>
        <w:ind w:left="7101" w:hanging="360"/>
      </w:pPr>
    </w:lvl>
    <w:lvl w:ilvl="6" w:tplc="FFFFFFFF">
      <w:start w:val="1"/>
      <w:numFmt w:val="decimal"/>
      <w:lvlText w:val="%7."/>
      <w:lvlJc w:val="left"/>
      <w:pPr>
        <w:tabs>
          <w:tab w:val="num" w:pos="7821"/>
        </w:tabs>
        <w:ind w:left="7821" w:hanging="360"/>
      </w:pPr>
    </w:lvl>
    <w:lvl w:ilvl="7" w:tplc="FFFFFFFF">
      <w:start w:val="1"/>
      <w:numFmt w:val="decimal"/>
      <w:lvlText w:val="%8."/>
      <w:lvlJc w:val="left"/>
      <w:pPr>
        <w:tabs>
          <w:tab w:val="num" w:pos="8541"/>
        </w:tabs>
        <w:ind w:left="8541" w:hanging="360"/>
      </w:pPr>
    </w:lvl>
    <w:lvl w:ilvl="8" w:tplc="FFFFFFFF">
      <w:start w:val="1"/>
      <w:numFmt w:val="decimal"/>
      <w:lvlText w:val="%9."/>
      <w:lvlJc w:val="left"/>
      <w:pPr>
        <w:tabs>
          <w:tab w:val="num" w:pos="9261"/>
        </w:tabs>
        <w:ind w:left="9261" w:hanging="360"/>
      </w:pPr>
    </w:lvl>
  </w:abstractNum>
  <w:abstractNum w:abstractNumId="2" w15:restartNumberingAfterBreak="0">
    <w:nsid w:val="1EDB5E4C"/>
    <w:multiLevelType w:val="hybridMultilevel"/>
    <w:tmpl w:val="CE38B74C"/>
    <w:lvl w:ilvl="0" w:tplc="2A882E48">
      <w:numFmt w:val="bullet"/>
      <w:lvlText w:val="-"/>
      <w:lvlJc w:val="left"/>
      <w:pPr>
        <w:ind w:left="2007" w:hanging="360"/>
      </w:pPr>
      <w:rPr>
        <w:rFonts w:ascii="Arial Narrow" w:eastAsia="Times New Roman" w:hAnsi="Arial Narrow" w:cs="Times New Roman"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 w15:restartNumberingAfterBreak="0">
    <w:nsid w:val="2F087AC3"/>
    <w:multiLevelType w:val="hybridMultilevel"/>
    <w:tmpl w:val="6A40B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E33E5"/>
    <w:multiLevelType w:val="hybridMultilevel"/>
    <w:tmpl w:val="7E76053C"/>
    <w:lvl w:ilvl="0" w:tplc="5694F7FE">
      <w:start w:val="1"/>
      <w:numFmt w:val="decimal"/>
      <w:lvlText w:val="%1."/>
      <w:lvlJc w:val="left"/>
      <w:pPr>
        <w:tabs>
          <w:tab w:val="num" w:pos="720"/>
        </w:tabs>
        <w:ind w:left="720" w:hanging="360"/>
      </w:pPr>
      <w:rPr>
        <w:rFonts w:hint="default"/>
      </w:rPr>
    </w:lvl>
    <w:lvl w:ilvl="1" w:tplc="14090001">
      <w:start w:val="1"/>
      <w:numFmt w:val="bullet"/>
      <w:lvlText w:val=""/>
      <w:lvlJc w:val="left"/>
      <w:pPr>
        <w:tabs>
          <w:tab w:val="num" w:pos="1440"/>
        </w:tabs>
        <w:ind w:left="1440" w:hanging="360"/>
      </w:pPr>
      <w:rPr>
        <w:rFonts w:ascii="Symbol" w:hAnsi="Symbol"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5" w15:restartNumberingAfterBreak="0">
    <w:nsid w:val="33835DA9"/>
    <w:multiLevelType w:val="hybridMultilevel"/>
    <w:tmpl w:val="D3DE6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F213DB"/>
    <w:multiLevelType w:val="hybridMultilevel"/>
    <w:tmpl w:val="CA8295C4"/>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F956B0"/>
    <w:multiLevelType w:val="hybridMultilevel"/>
    <w:tmpl w:val="E9B6A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0D6A49"/>
    <w:multiLevelType w:val="hybridMultilevel"/>
    <w:tmpl w:val="82E4F37E"/>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AF93355"/>
    <w:multiLevelType w:val="hybridMultilevel"/>
    <w:tmpl w:val="223E2696"/>
    <w:lvl w:ilvl="0" w:tplc="D5E8C868">
      <w:start w:val="1"/>
      <w:numFmt w:val="bullet"/>
      <w:lvlText w:val="o"/>
      <w:lvlJc w:val="left"/>
      <w:pPr>
        <w:tabs>
          <w:tab w:val="num" w:pos="927"/>
        </w:tabs>
        <w:ind w:left="907" w:hanging="340"/>
      </w:pPr>
      <w:rPr>
        <w:rFonts w:ascii="Courier New" w:hAnsi="Courier New" w:cs="Courier New" w:hint="default"/>
        <w:color w:val="auto"/>
      </w:rPr>
    </w:lvl>
    <w:lvl w:ilvl="1" w:tplc="04090003">
      <w:start w:val="1"/>
      <w:numFmt w:val="bullet"/>
      <w:lvlText w:val="o"/>
      <w:lvlJc w:val="left"/>
      <w:pPr>
        <w:tabs>
          <w:tab w:val="num" w:pos="1188"/>
        </w:tabs>
        <w:ind w:left="1188" w:hanging="360"/>
      </w:pPr>
      <w:rPr>
        <w:rFonts w:ascii="Courier New" w:hAnsi="Courier New" w:cs="Courier New" w:hint="default"/>
        <w:color w:val="008080"/>
      </w:rPr>
    </w:lvl>
    <w:lvl w:ilvl="2" w:tplc="FFFFFFFF">
      <w:start w:val="1"/>
      <w:numFmt w:val="decimal"/>
      <w:lvlText w:val="%3."/>
      <w:lvlJc w:val="left"/>
      <w:pPr>
        <w:tabs>
          <w:tab w:val="num" w:pos="207"/>
        </w:tabs>
        <w:ind w:left="207" w:hanging="360"/>
      </w:pPr>
    </w:lvl>
    <w:lvl w:ilvl="3" w:tplc="FFFFFFFF">
      <w:start w:val="1"/>
      <w:numFmt w:val="decimal"/>
      <w:lvlText w:val="%4."/>
      <w:lvlJc w:val="left"/>
      <w:pPr>
        <w:tabs>
          <w:tab w:val="num" w:pos="927"/>
        </w:tabs>
        <w:ind w:left="927" w:hanging="360"/>
      </w:pPr>
    </w:lvl>
    <w:lvl w:ilvl="4" w:tplc="FFFFFFFF">
      <w:start w:val="1"/>
      <w:numFmt w:val="decimal"/>
      <w:lvlText w:val="%5."/>
      <w:lvlJc w:val="left"/>
      <w:pPr>
        <w:tabs>
          <w:tab w:val="num" w:pos="1647"/>
        </w:tabs>
        <w:ind w:left="1647" w:hanging="360"/>
      </w:pPr>
    </w:lvl>
    <w:lvl w:ilvl="5" w:tplc="FFFFFFFF">
      <w:start w:val="1"/>
      <w:numFmt w:val="decimal"/>
      <w:lvlText w:val="%6."/>
      <w:lvlJc w:val="left"/>
      <w:pPr>
        <w:tabs>
          <w:tab w:val="num" w:pos="2367"/>
        </w:tabs>
        <w:ind w:left="2367" w:hanging="360"/>
      </w:pPr>
    </w:lvl>
    <w:lvl w:ilvl="6" w:tplc="FFFFFFFF">
      <w:start w:val="1"/>
      <w:numFmt w:val="decimal"/>
      <w:lvlText w:val="%7."/>
      <w:lvlJc w:val="left"/>
      <w:pPr>
        <w:tabs>
          <w:tab w:val="num" w:pos="3087"/>
        </w:tabs>
        <w:ind w:left="3087" w:hanging="360"/>
      </w:pPr>
    </w:lvl>
    <w:lvl w:ilvl="7" w:tplc="FFFFFFFF">
      <w:start w:val="1"/>
      <w:numFmt w:val="decimal"/>
      <w:lvlText w:val="%8."/>
      <w:lvlJc w:val="left"/>
      <w:pPr>
        <w:tabs>
          <w:tab w:val="num" w:pos="3807"/>
        </w:tabs>
        <w:ind w:left="3807" w:hanging="360"/>
      </w:pPr>
    </w:lvl>
    <w:lvl w:ilvl="8" w:tplc="FFFFFFFF">
      <w:start w:val="1"/>
      <w:numFmt w:val="decimal"/>
      <w:lvlText w:val="%9."/>
      <w:lvlJc w:val="left"/>
      <w:pPr>
        <w:tabs>
          <w:tab w:val="num" w:pos="4527"/>
        </w:tabs>
        <w:ind w:left="4527" w:hanging="360"/>
      </w:pPr>
    </w:lvl>
  </w:abstractNum>
  <w:abstractNum w:abstractNumId="10" w15:restartNumberingAfterBreak="0">
    <w:nsid w:val="7E793EC7"/>
    <w:multiLevelType w:val="hybridMultilevel"/>
    <w:tmpl w:val="27AA22A4"/>
    <w:lvl w:ilvl="0" w:tplc="40D6D578">
      <w:start w:val="1"/>
      <w:numFmt w:val="bullet"/>
      <w:pStyle w:val="BOTBullet3"/>
      <w:lvlText w:val="–"/>
      <w:lvlJc w:val="left"/>
      <w:pPr>
        <w:tabs>
          <w:tab w:val="num" w:pos="1440"/>
        </w:tabs>
        <w:ind w:left="1440" w:hanging="360"/>
      </w:pPr>
      <w:rPr>
        <w:rFonts w:ascii="Arial Narrow" w:hAnsi="Arial Narrow" w:hint="default"/>
      </w:rPr>
    </w:lvl>
    <w:lvl w:ilvl="1" w:tplc="04090003" w:tentative="1">
      <w:start w:val="1"/>
      <w:numFmt w:val="bullet"/>
      <w:lvlText w:val="o"/>
      <w:lvlJc w:val="left"/>
      <w:pPr>
        <w:tabs>
          <w:tab w:val="num" w:pos="-261"/>
        </w:tabs>
        <w:ind w:left="-261" w:hanging="360"/>
      </w:pPr>
      <w:rPr>
        <w:rFonts w:ascii="Courier New" w:hAnsi="Courier New" w:cs="Courier New" w:hint="default"/>
      </w:rPr>
    </w:lvl>
    <w:lvl w:ilvl="2" w:tplc="04090005" w:tentative="1">
      <w:start w:val="1"/>
      <w:numFmt w:val="bullet"/>
      <w:lvlText w:val=""/>
      <w:lvlJc w:val="left"/>
      <w:pPr>
        <w:tabs>
          <w:tab w:val="num" w:pos="459"/>
        </w:tabs>
        <w:ind w:left="459" w:hanging="360"/>
      </w:pPr>
      <w:rPr>
        <w:rFonts w:ascii="Wingdings" w:hAnsi="Wingdings" w:hint="default"/>
      </w:rPr>
    </w:lvl>
    <w:lvl w:ilvl="3" w:tplc="04090001" w:tentative="1">
      <w:start w:val="1"/>
      <w:numFmt w:val="bullet"/>
      <w:lvlText w:val=""/>
      <w:lvlJc w:val="left"/>
      <w:pPr>
        <w:tabs>
          <w:tab w:val="num" w:pos="1179"/>
        </w:tabs>
        <w:ind w:left="1179" w:hanging="360"/>
      </w:pPr>
      <w:rPr>
        <w:rFonts w:ascii="Symbol" w:hAnsi="Symbol" w:hint="default"/>
      </w:rPr>
    </w:lvl>
    <w:lvl w:ilvl="4" w:tplc="04090003" w:tentative="1">
      <w:start w:val="1"/>
      <w:numFmt w:val="bullet"/>
      <w:lvlText w:val="o"/>
      <w:lvlJc w:val="left"/>
      <w:pPr>
        <w:tabs>
          <w:tab w:val="num" w:pos="1899"/>
        </w:tabs>
        <w:ind w:left="1899" w:hanging="360"/>
      </w:pPr>
      <w:rPr>
        <w:rFonts w:ascii="Courier New" w:hAnsi="Courier New" w:cs="Courier New" w:hint="default"/>
      </w:rPr>
    </w:lvl>
    <w:lvl w:ilvl="5" w:tplc="04090005" w:tentative="1">
      <w:start w:val="1"/>
      <w:numFmt w:val="bullet"/>
      <w:lvlText w:val=""/>
      <w:lvlJc w:val="left"/>
      <w:pPr>
        <w:tabs>
          <w:tab w:val="num" w:pos="2619"/>
        </w:tabs>
        <w:ind w:left="2619" w:hanging="360"/>
      </w:pPr>
      <w:rPr>
        <w:rFonts w:ascii="Wingdings" w:hAnsi="Wingdings" w:hint="default"/>
      </w:rPr>
    </w:lvl>
    <w:lvl w:ilvl="6" w:tplc="04090001" w:tentative="1">
      <w:start w:val="1"/>
      <w:numFmt w:val="bullet"/>
      <w:lvlText w:val=""/>
      <w:lvlJc w:val="left"/>
      <w:pPr>
        <w:tabs>
          <w:tab w:val="num" w:pos="3339"/>
        </w:tabs>
        <w:ind w:left="3339" w:hanging="360"/>
      </w:pPr>
      <w:rPr>
        <w:rFonts w:ascii="Symbol" w:hAnsi="Symbol" w:hint="default"/>
      </w:rPr>
    </w:lvl>
    <w:lvl w:ilvl="7" w:tplc="04090003" w:tentative="1">
      <w:start w:val="1"/>
      <w:numFmt w:val="bullet"/>
      <w:lvlText w:val="o"/>
      <w:lvlJc w:val="left"/>
      <w:pPr>
        <w:tabs>
          <w:tab w:val="num" w:pos="4059"/>
        </w:tabs>
        <w:ind w:left="4059" w:hanging="360"/>
      </w:pPr>
      <w:rPr>
        <w:rFonts w:ascii="Courier New" w:hAnsi="Courier New" w:cs="Courier New" w:hint="default"/>
      </w:rPr>
    </w:lvl>
    <w:lvl w:ilvl="8" w:tplc="04090005" w:tentative="1">
      <w:start w:val="1"/>
      <w:numFmt w:val="bullet"/>
      <w:lvlText w:val=""/>
      <w:lvlJc w:val="left"/>
      <w:pPr>
        <w:tabs>
          <w:tab w:val="num" w:pos="4779"/>
        </w:tabs>
        <w:ind w:left="4779" w:hanging="360"/>
      </w:pPr>
      <w:rPr>
        <w:rFonts w:ascii="Wingdings" w:hAnsi="Wingdings" w:hint="default"/>
      </w:rPr>
    </w:lvl>
  </w:abstractNum>
  <w:num w:numId="1">
    <w:abstractNumId w:val="6"/>
  </w:num>
  <w:num w:numId="2">
    <w:abstractNumId w:val="8"/>
  </w:num>
  <w:num w:numId="3">
    <w:abstractNumId w:val="10"/>
  </w:num>
  <w:num w:numId="4">
    <w:abstractNumId w:val="4"/>
  </w:num>
  <w:num w:numId="5">
    <w:abstractNumId w:val="1"/>
  </w:num>
  <w:num w:numId="6">
    <w:abstractNumId w:val="7"/>
  </w:num>
  <w:num w:numId="7">
    <w:abstractNumId w:val="9"/>
  </w:num>
  <w:num w:numId="8">
    <w:abstractNumId w:val="1"/>
  </w:num>
  <w:num w:numId="9">
    <w:abstractNumId w:val="1"/>
  </w:num>
  <w:num w:numId="10">
    <w:abstractNumId w:val="2"/>
  </w:num>
  <w:num w:numId="11">
    <w:abstractNumId w:val="1"/>
  </w:num>
  <w:num w:numId="12">
    <w:abstractNumId w:val="0"/>
  </w:num>
  <w:num w:numId="13">
    <w:abstractNumId w:val="1"/>
  </w:num>
  <w:num w:numId="14">
    <w:abstractNumId w:val="1"/>
  </w:num>
  <w:num w:numId="15">
    <w:abstractNumId w:val="1"/>
  </w:num>
  <w:num w:numId="16">
    <w:abstractNumId w:val="1"/>
  </w:num>
  <w:num w:numId="17">
    <w:abstractNumId w:val="1"/>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AA"/>
    <w:rsid w:val="00081449"/>
    <w:rsid w:val="000A2556"/>
    <w:rsid w:val="000C5BEC"/>
    <w:rsid w:val="000D7BF4"/>
    <w:rsid w:val="000E1438"/>
    <w:rsid w:val="001475C0"/>
    <w:rsid w:val="00152139"/>
    <w:rsid w:val="0015382F"/>
    <w:rsid w:val="00191581"/>
    <w:rsid w:val="001A6460"/>
    <w:rsid w:val="001E30BC"/>
    <w:rsid w:val="00211263"/>
    <w:rsid w:val="002232D1"/>
    <w:rsid w:val="00264BFB"/>
    <w:rsid w:val="00271FCC"/>
    <w:rsid w:val="00273FF0"/>
    <w:rsid w:val="002900BB"/>
    <w:rsid w:val="002974F6"/>
    <w:rsid w:val="002C6C5F"/>
    <w:rsid w:val="00314AED"/>
    <w:rsid w:val="003202E4"/>
    <w:rsid w:val="0032392B"/>
    <w:rsid w:val="00377374"/>
    <w:rsid w:val="003E1311"/>
    <w:rsid w:val="00400E2A"/>
    <w:rsid w:val="0040373D"/>
    <w:rsid w:val="00405CAD"/>
    <w:rsid w:val="004159D4"/>
    <w:rsid w:val="0043247D"/>
    <w:rsid w:val="00432850"/>
    <w:rsid w:val="004466FB"/>
    <w:rsid w:val="00484423"/>
    <w:rsid w:val="00492261"/>
    <w:rsid w:val="0049312E"/>
    <w:rsid w:val="004C5F12"/>
    <w:rsid w:val="004D7703"/>
    <w:rsid w:val="00501FAA"/>
    <w:rsid w:val="00514DAF"/>
    <w:rsid w:val="005171F4"/>
    <w:rsid w:val="005336E2"/>
    <w:rsid w:val="0055105D"/>
    <w:rsid w:val="005E2327"/>
    <w:rsid w:val="005F2F33"/>
    <w:rsid w:val="005F486D"/>
    <w:rsid w:val="00617DFA"/>
    <w:rsid w:val="006567C8"/>
    <w:rsid w:val="006F3144"/>
    <w:rsid w:val="0073723C"/>
    <w:rsid w:val="0074723C"/>
    <w:rsid w:val="00752FDB"/>
    <w:rsid w:val="00780BC3"/>
    <w:rsid w:val="00785867"/>
    <w:rsid w:val="0082531D"/>
    <w:rsid w:val="008A33DD"/>
    <w:rsid w:val="008F437B"/>
    <w:rsid w:val="00917BD0"/>
    <w:rsid w:val="0096293C"/>
    <w:rsid w:val="009821AA"/>
    <w:rsid w:val="00985A3A"/>
    <w:rsid w:val="009B19F6"/>
    <w:rsid w:val="009B38CC"/>
    <w:rsid w:val="009B7FC6"/>
    <w:rsid w:val="009C4BFB"/>
    <w:rsid w:val="009D7E5E"/>
    <w:rsid w:val="009E2648"/>
    <w:rsid w:val="00A05F0D"/>
    <w:rsid w:val="00A116F9"/>
    <w:rsid w:val="00A658C4"/>
    <w:rsid w:val="00AC6FB4"/>
    <w:rsid w:val="00AE4DEE"/>
    <w:rsid w:val="00AF6372"/>
    <w:rsid w:val="00B061C5"/>
    <w:rsid w:val="00B24BD9"/>
    <w:rsid w:val="00B62DC7"/>
    <w:rsid w:val="00B75DA5"/>
    <w:rsid w:val="00BA10BF"/>
    <w:rsid w:val="00BA169C"/>
    <w:rsid w:val="00BB74E1"/>
    <w:rsid w:val="00BB7917"/>
    <w:rsid w:val="00C17C24"/>
    <w:rsid w:val="00C3322F"/>
    <w:rsid w:val="00C57C47"/>
    <w:rsid w:val="00C85EA8"/>
    <w:rsid w:val="00C957DC"/>
    <w:rsid w:val="00CC1785"/>
    <w:rsid w:val="00CC19E9"/>
    <w:rsid w:val="00CD3710"/>
    <w:rsid w:val="00D15F69"/>
    <w:rsid w:val="00D2297B"/>
    <w:rsid w:val="00D2412B"/>
    <w:rsid w:val="00D36311"/>
    <w:rsid w:val="00D4330F"/>
    <w:rsid w:val="00D4676C"/>
    <w:rsid w:val="00D5058F"/>
    <w:rsid w:val="00D527FB"/>
    <w:rsid w:val="00E05C7E"/>
    <w:rsid w:val="00E25165"/>
    <w:rsid w:val="00E47859"/>
    <w:rsid w:val="00EC5EAE"/>
    <w:rsid w:val="00ED672D"/>
    <w:rsid w:val="00EF72CE"/>
    <w:rsid w:val="00F8124C"/>
    <w:rsid w:val="00FE435B"/>
    <w:rsid w:val="00FE6D6A"/>
    <w:rsid w:val="00FF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02B909-6706-4557-A759-B3F6E011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9D4"/>
    <w:rPr>
      <w:rFonts w:ascii="Arial Narrow" w:hAnsi="Arial Narrow"/>
      <w:sz w:val="22"/>
      <w:szCs w:val="24"/>
    </w:rPr>
  </w:style>
  <w:style w:type="paragraph" w:styleId="Heading1">
    <w:name w:val="heading 1"/>
    <w:basedOn w:val="Normal"/>
    <w:next w:val="Normal"/>
    <w:qFormat/>
    <w:rsid w:val="004159D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THeading1">
    <w:name w:val="BOT Heading 1"/>
    <w:basedOn w:val="Heading1"/>
    <w:link w:val="BOTHeading1Char"/>
    <w:rsid w:val="004159D4"/>
    <w:rPr>
      <w:rFonts w:ascii="Arial Narrow" w:hAnsi="Arial Narrow"/>
      <w:color w:val="008080"/>
      <w:sz w:val="36"/>
    </w:rPr>
  </w:style>
  <w:style w:type="paragraph" w:customStyle="1" w:styleId="BOTHeading2">
    <w:name w:val="BOT Heading 2"/>
    <w:basedOn w:val="BOTHeading1"/>
    <w:link w:val="BOTHeading2Char"/>
    <w:rsid w:val="004159D4"/>
    <w:pPr>
      <w:spacing w:before="60"/>
    </w:pPr>
    <w:rPr>
      <w:sz w:val="24"/>
    </w:rPr>
  </w:style>
  <w:style w:type="character" w:customStyle="1" w:styleId="BOTHeading1Char">
    <w:name w:val="BOT Heading 1 Char"/>
    <w:basedOn w:val="DefaultParagraphFont"/>
    <w:link w:val="BOTHeading1"/>
    <w:rsid w:val="004159D4"/>
    <w:rPr>
      <w:rFonts w:ascii="Arial Narrow" w:hAnsi="Arial Narrow" w:cs="Arial"/>
      <w:b/>
      <w:bCs/>
      <w:color w:val="008080"/>
      <w:kern w:val="32"/>
      <w:sz w:val="36"/>
      <w:szCs w:val="32"/>
      <w:lang w:val="en-US" w:eastAsia="en-US" w:bidi="ar-SA"/>
    </w:rPr>
  </w:style>
  <w:style w:type="character" w:customStyle="1" w:styleId="BOTHeading2Char">
    <w:name w:val="BOT Heading 2 Char"/>
    <w:basedOn w:val="BOTHeading1Char"/>
    <w:link w:val="BOTHeading2"/>
    <w:rsid w:val="004159D4"/>
    <w:rPr>
      <w:rFonts w:ascii="Arial Narrow" w:hAnsi="Arial Narrow" w:cs="Arial"/>
      <w:b/>
      <w:bCs/>
      <w:color w:val="008080"/>
      <w:kern w:val="32"/>
      <w:sz w:val="24"/>
      <w:szCs w:val="32"/>
      <w:lang w:val="en-US" w:eastAsia="en-US" w:bidi="ar-SA"/>
    </w:rPr>
  </w:style>
  <w:style w:type="paragraph" w:styleId="Header">
    <w:name w:val="header"/>
    <w:basedOn w:val="Normal"/>
    <w:rsid w:val="004159D4"/>
    <w:pPr>
      <w:tabs>
        <w:tab w:val="center" w:pos="4153"/>
        <w:tab w:val="right" w:pos="8306"/>
      </w:tabs>
    </w:pPr>
  </w:style>
  <w:style w:type="paragraph" w:styleId="Footer">
    <w:name w:val="footer"/>
    <w:basedOn w:val="Normal"/>
    <w:rsid w:val="004159D4"/>
    <w:pPr>
      <w:tabs>
        <w:tab w:val="center" w:pos="4153"/>
        <w:tab w:val="right" w:pos="8306"/>
      </w:tabs>
    </w:pPr>
  </w:style>
  <w:style w:type="paragraph" w:customStyle="1" w:styleId="BOTBullet3">
    <w:name w:val="BOT Bullet 3"/>
    <w:basedOn w:val="Normal"/>
    <w:rsid w:val="00BB7917"/>
    <w:pPr>
      <w:numPr>
        <w:numId w:val="3"/>
      </w:numPr>
      <w:tabs>
        <w:tab w:val="clear" w:pos="1440"/>
        <w:tab w:val="num" w:pos="1080"/>
      </w:tabs>
      <w:ind w:left="1080" w:hanging="540"/>
    </w:pPr>
  </w:style>
  <w:style w:type="paragraph" w:customStyle="1" w:styleId="BOTBullet">
    <w:name w:val="BOT Bullet"/>
    <w:basedOn w:val="Normal"/>
    <w:rsid w:val="00C85EA8"/>
    <w:pPr>
      <w:widowControl w:val="0"/>
      <w:numPr>
        <w:numId w:val="5"/>
      </w:numPr>
      <w:tabs>
        <w:tab w:val="left" w:pos="1701"/>
      </w:tabs>
      <w:autoSpaceDE w:val="0"/>
      <w:autoSpaceDN w:val="0"/>
      <w:adjustRightInd w:val="0"/>
      <w:spacing w:before="60" w:after="60" w:line="240" w:lineRule="atLeast"/>
      <w:jc w:val="both"/>
    </w:pPr>
    <w:rPr>
      <w:szCs w:val="20"/>
    </w:rPr>
  </w:style>
  <w:style w:type="paragraph" w:styleId="ListParagraph">
    <w:name w:val="List Paragraph"/>
    <w:basedOn w:val="Normal"/>
    <w:uiPriority w:val="34"/>
    <w:qFormat/>
    <w:rsid w:val="00C85EA8"/>
    <w:pPr>
      <w:ind w:left="720"/>
      <w:contextualSpacing/>
    </w:pPr>
  </w:style>
  <w:style w:type="character" w:styleId="Hyperlink">
    <w:name w:val="Hyperlink"/>
    <w:basedOn w:val="DefaultParagraphFont"/>
    <w:uiPriority w:val="99"/>
    <w:unhideWhenUsed/>
    <w:rsid w:val="00C57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correspondence.school.nz/policies-and-procedures/policy-framework/staff-procedures" TargetMode="External"/><Relationship Id="rId3" Type="http://schemas.openxmlformats.org/officeDocument/2006/relationships/settings" Target="settings.xml"/><Relationship Id="rId7" Type="http://schemas.openxmlformats.org/officeDocument/2006/relationships/hyperlink" Target="http://intranet.correspondence.school.nz/policies-and-procedures/policy-framework/staff-procedu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Protected Disclosure Policy         </vt:lpstr>
    </vt:vector>
  </TitlesOfParts>
  <Company>Wellington, New Zealand</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Disclosure Policy</dc:title>
  <dc:subject/>
  <dc:creator>Margaret Gamlin</dc:creator>
  <cp:keywords/>
  <dc:description/>
  <cp:lastModifiedBy>Swasti.Arya</cp:lastModifiedBy>
  <cp:revision>2</cp:revision>
  <cp:lastPrinted>2008-08-07T02:23:00Z</cp:lastPrinted>
  <dcterms:created xsi:type="dcterms:W3CDTF">2018-03-04T20:56:00Z</dcterms:created>
  <dcterms:modified xsi:type="dcterms:W3CDTF">2018-03-04T20:56:00Z</dcterms:modified>
</cp:coreProperties>
</file>